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DC16" w14:textId="4D89291E" w:rsidR="0054284E" w:rsidRDefault="00C41517">
      <w:pPr>
        <w:pStyle w:val="Heading1"/>
        <w:keepNext w:val="0"/>
        <w:keepLines w:val="0"/>
        <w:widowControl w:val="0"/>
        <w:spacing w:before="75" w:after="0" w:line="240" w:lineRule="auto"/>
        <w:ind w:left="134"/>
      </w:pPr>
      <w:bookmarkStart w:id="0" w:name="kix.kx7kau40g6y"/>
      <w:bookmarkEnd w:id="0"/>
      <w:r>
        <w:rPr>
          <w:b/>
          <w:color w:val="005ABA"/>
        </w:rPr>
        <w:t>Carbon Reduction Plan</w:t>
      </w:r>
    </w:p>
    <w:p w14:paraId="654A23AA" w14:textId="5D2D9ABD" w:rsidR="0054284E" w:rsidRDefault="00C41517" w:rsidP="00871419">
      <w:pPr>
        <w:widowControl w:val="0"/>
        <w:spacing w:before="426" w:line="240" w:lineRule="auto"/>
        <w:ind w:left="134"/>
      </w:pPr>
      <w:r>
        <w:rPr>
          <w:b/>
          <w:sz w:val="24"/>
          <w:szCs w:val="24"/>
        </w:rPr>
        <w:t>Supplier name</w:t>
      </w:r>
      <w:r w:rsidR="00871419">
        <w:rPr>
          <w:b/>
          <w:sz w:val="24"/>
          <w:szCs w:val="24"/>
        </w:rPr>
        <w:tab/>
      </w:r>
      <w:r w:rsidR="00871419">
        <w:rPr>
          <w:b/>
          <w:sz w:val="24"/>
          <w:szCs w:val="24"/>
        </w:rPr>
        <w:tab/>
      </w:r>
      <w:r w:rsidR="00871419" w:rsidRPr="00871419">
        <w:rPr>
          <w:b/>
          <w:sz w:val="24"/>
          <w:szCs w:val="24"/>
        </w:rPr>
        <w:t xml:space="preserve"> Mölnlycke Health Care Ltd</w:t>
      </w:r>
    </w:p>
    <w:p w14:paraId="68470B58" w14:textId="677A2661" w:rsidR="0054284E" w:rsidRDefault="00871419" w:rsidP="00871419">
      <w:pPr>
        <w:widowControl w:val="0"/>
        <w:tabs>
          <w:tab w:val="left" w:pos="3960"/>
          <w:tab w:val="left" w:pos="4380"/>
        </w:tabs>
        <w:spacing w:line="240" w:lineRule="auto"/>
        <w:rPr>
          <w:b/>
          <w:sz w:val="24"/>
          <w:szCs w:val="24"/>
        </w:rPr>
      </w:pPr>
      <w:r>
        <w:rPr>
          <w:b/>
          <w:sz w:val="24"/>
          <w:szCs w:val="24"/>
        </w:rPr>
        <w:tab/>
      </w:r>
      <w:r>
        <w:rPr>
          <w:b/>
          <w:sz w:val="24"/>
          <w:szCs w:val="24"/>
        </w:rPr>
        <w:tab/>
      </w:r>
    </w:p>
    <w:p w14:paraId="088B1FF7" w14:textId="77777777" w:rsidR="0054284E" w:rsidRDefault="0054284E">
      <w:pPr>
        <w:widowControl w:val="0"/>
        <w:spacing w:before="99" w:line="240" w:lineRule="auto"/>
        <w:rPr>
          <w:b/>
          <w:sz w:val="24"/>
          <w:szCs w:val="24"/>
        </w:rPr>
      </w:pPr>
    </w:p>
    <w:p w14:paraId="5C55F6E8" w14:textId="0C4767AB" w:rsidR="0054284E" w:rsidRDefault="00C41517">
      <w:pPr>
        <w:widowControl w:val="0"/>
        <w:spacing w:line="240" w:lineRule="auto"/>
        <w:ind w:left="134"/>
      </w:pPr>
      <w:r>
        <w:rPr>
          <w:b/>
          <w:sz w:val="24"/>
          <w:szCs w:val="24"/>
        </w:rPr>
        <w:t>Publication date</w:t>
      </w:r>
      <w:r w:rsidR="00871419">
        <w:rPr>
          <w:b/>
          <w:sz w:val="24"/>
          <w:szCs w:val="24"/>
        </w:rPr>
        <w:tab/>
      </w:r>
      <w:r w:rsidR="00871419">
        <w:rPr>
          <w:b/>
          <w:sz w:val="24"/>
          <w:szCs w:val="24"/>
        </w:rPr>
        <w:tab/>
        <w:t>26 June 2025</w:t>
      </w:r>
    </w:p>
    <w:p w14:paraId="68EE1A9D" w14:textId="77777777" w:rsidR="0054284E" w:rsidRDefault="0054284E">
      <w:pPr>
        <w:widowControl w:val="0"/>
        <w:spacing w:line="240" w:lineRule="auto"/>
        <w:rPr>
          <w:b/>
          <w:sz w:val="32"/>
          <w:szCs w:val="32"/>
        </w:rPr>
      </w:pPr>
    </w:p>
    <w:p w14:paraId="73E5BDB6" w14:textId="77777777" w:rsidR="0054284E" w:rsidRDefault="00C41517">
      <w:pPr>
        <w:pStyle w:val="Heading2"/>
        <w:keepNext w:val="0"/>
        <w:keepLines w:val="0"/>
        <w:widowControl w:val="0"/>
        <w:spacing w:before="1" w:after="0" w:line="240" w:lineRule="auto"/>
        <w:ind w:left="134"/>
      </w:pPr>
      <w:bookmarkStart w:id="1" w:name="kix.k15po0ysjh3y"/>
      <w:bookmarkEnd w:id="1"/>
      <w:r>
        <w:rPr>
          <w:b/>
          <w:color w:val="005ABA"/>
        </w:rPr>
        <w:t>Commitment to achieving net zero</w:t>
      </w:r>
    </w:p>
    <w:p w14:paraId="10260444" w14:textId="5E13E50F" w:rsidR="0054284E" w:rsidRDefault="00871419" w:rsidP="00871419">
      <w:pPr>
        <w:widowControl w:val="0"/>
        <w:spacing w:before="80" w:line="240" w:lineRule="auto"/>
        <w:ind w:left="134"/>
        <w:rPr>
          <w:sz w:val="24"/>
          <w:szCs w:val="24"/>
        </w:rPr>
      </w:pPr>
      <w:r w:rsidRPr="00871419">
        <w:rPr>
          <w:sz w:val="24"/>
          <w:szCs w:val="24"/>
        </w:rPr>
        <w:t>Mölnlycke Health Care is committed to achieving Net Zero greenhouse gas (GHG) emissions by 2050 at the latest</w:t>
      </w:r>
      <w:r w:rsidR="00A675A5">
        <w:rPr>
          <w:sz w:val="24"/>
          <w:szCs w:val="24"/>
        </w:rPr>
        <w:t xml:space="preserve"> </w:t>
      </w:r>
      <w:r w:rsidR="00A675A5" w:rsidRPr="00871419">
        <w:rPr>
          <w:sz w:val="24"/>
          <w:szCs w:val="24"/>
        </w:rPr>
        <w:t>Mölnlycke</w:t>
      </w:r>
      <w:r w:rsidR="00A675A5">
        <w:rPr>
          <w:sz w:val="24"/>
          <w:szCs w:val="24"/>
        </w:rPr>
        <w:t xml:space="preserve"> have made a public commitment to this through the Science Based Targets initiative (SBTi)</w:t>
      </w:r>
      <w:r w:rsidR="006F3243">
        <w:rPr>
          <w:sz w:val="24"/>
          <w:szCs w:val="24"/>
        </w:rPr>
        <w:t xml:space="preserve">, and SBTi have validated </w:t>
      </w:r>
      <w:r w:rsidR="006F3243" w:rsidRPr="00871419">
        <w:rPr>
          <w:sz w:val="24"/>
          <w:szCs w:val="24"/>
        </w:rPr>
        <w:t>Mölnlycke</w:t>
      </w:r>
      <w:r w:rsidR="006F3243">
        <w:rPr>
          <w:sz w:val="24"/>
          <w:szCs w:val="24"/>
        </w:rPr>
        <w:t>’s near-term and Net Zero targets.</w:t>
      </w:r>
    </w:p>
    <w:p w14:paraId="58062250" w14:textId="77777777" w:rsidR="00871419" w:rsidRDefault="00871419" w:rsidP="00871419">
      <w:pPr>
        <w:widowControl w:val="0"/>
        <w:spacing w:before="80" w:line="240" w:lineRule="auto"/>
        <w:ind w:left="134"/>
        <w:rPr>
          <w:sz w:val="24"/>
          <w:szCs w:val="24"/>
        </w:rPr>
      </w:pPr>
    </w:p>
    <w:p w14:paraId="1D7E6080" w14:textId="77777777" w:rsidR="0054284E" w:rsidRDefault="00C41517">
      <w:pPr>
        <w:pStyle w:val="Heading3"/>
        <w:keepNext w:val="0"/>
        <w:keepLines w:val="0"/>
        <w:widowControl w:val="0"/>
        <w:spacing w:before="0" w:after="0" w:line="240" w:lineRule="auto"/>
        <w:ind w:left="134"/>
        <w:rPr>
          <w:b/>
          <w:color w:val="000000"/>
        </w:rPr>
      </w:pPr>
      <w:bookmarkStart w:id="2" w:name="kix.jvjo2g74ikrv"/>
      <w:bookmarkEnd w:id="2"/>
      <w:r>
        <w:rPr>
          <w:b/>
          <w:color w:val="000000"/>
        </w:rPr>
        <w:t>Baseline emissions footprint</w:t>
      </w:r>
    </w:p>
    <w:p w14:paraId="1448C008" w14:textId="77777777" w:rsidR="0054284E" w:rsidRDefault="00C41517">
      <w:pPr>
        <w:widowControl w:val="0"/>
        <w:spacing w:before="80" w:line="240" w:lineRule="auto"/>
        <w:ind w:left="134"/>
        <w:rPr>
          <w:sz w:val="24"/>
          <w:szCs w:val="24"/>
        </w:rPr>
      </w:pPr>
      <w:r>
        <w:rPr>
          <w:sz w:val="24"/>
          <w:szCs w:val="24"/>
        </w:rPr>
        <w:t>Baseline emissions are a record of the greenhouse gases that have been produced in the past and were produced prior to the introduction of any strategies to reduce emissions.</w:t>
      </w:r>
    </w:p>
    <w:p w14:paraId="45FBA8DB" w14:textId="77777777" w:rsidR="0054284E" w:rsidRDefault="00C41517">
      <w:pPr>
        <w:widowControl w:val="0"/>
        <w:spacing w:line="240" w:lineRule="auto"/>
        <w:ind w:left="134"/>
        <w:rPr>
          <w:sz w:val="24"/>
          <w:szCs w:val="24"/>
        </w:rPr>
      </w:pPr>
      <w:r>
        <w:rPr>
          <w:sz w:val="24"/>
          <w:szCs w:val="24"/>
        </w:rPr>
        <w:t>Baseline emissions are the reference point against which emissions reduction can be measured.</w:t>
      </w:r>
    </w:p>
    <w:p w14:paraId="6289AB01" w14:textId="77777777" w:rsidR="0054284E" w:rsidRDefault="0054284E">
      <w:pPr>
        <w:widowControl w:val="0"/>
        <w:spacing w:line="240" w:lineRule="auto"/>
        <w:rPr>
          <w:sz w:val="20"/>
          <w:szCs w:val="20"/>
        </w:rPr>
      </w:pPr>
    </w:p>
    <w:tbl>
      <w:tblPr>
        <w:tblW w:w="10221" w:type="dxa"/>
        <w:tblInd w:w="127" w:type="dxa"/>
        <w:tblLayout w:type="fixed"/>
        <w:tblCellMar>
          <w:left w:w="10" w:type="dxa"/>
          <w:right w:w="10" w:type="dxa"/>
        </w:tblCellMar>
        <w:tblLook w:val="04A0" w:firstRow="1" w:lastRow="0" w:firstColumn="1" w:lastColumn="0" w:noHBand="0" w:noVBand="1"/>
      </w:tblPr>
      <w:tblGrid>
        <w:gridCol w:w="8662"/>
        <w:gridCol w:w="1559"/>
      </w:tblGrid>
      <w:tr w:rsidR="0054284E" w14:paraId="0AB455E3" w14:textId="77777777" w:rsidTr="00F8767A">
        <w:trPr>
          <w:trHeight w:val="389"/>
        </w:trPr>
        <w:tc>
          <w:tcPr>
            <w:tcW w:w="8662" w:type="dxa"/>
            <w:tcBorders>
              <w:bottom w:val="single" w:sz="8" w:space="0" w:color="000000"/>
            </w:tcBorders>
            <w:shd w:val="clear" w:color="auto" w:fill="D9EBFF"/>
            <w:tcMar>
              <w:top w:w="0" w:type="dxa"/>
              <w:left w:w="0" w:type="dxa"/>
              <w:bottom w:w="0" w:type="dxa"/>
              <w:right w:w="0" w:type="dxa"/>
            </w:tcMar>
          </w:tcPr>
          <w:p w14:paraId="56723036" w14:textId="32DA3DC1" w:rsidR="0054284E" w:rsidRDefault="00C41517" w:rsidP="00871419">
            <w:pPr>
              <w:widowControl w:val="0"/>
              <w:spacing w:line="240" w:lineRule="auto"/>
              <w:ind w:left="134"/>
            </w:pPr>
            <w:r>
              <w:rPr>
                <w:b/>
                <w:sz w:val="24"/>
                <w:szCs w:val="24"/>
              </w:rPr>
              <w:t xml:space="preserve">Baseline year: </w:t>
            </w:r>
            <w:r w:rsidRPr="00871419">
              <w:rPr>
                <w:sz w:val="24"/>
                <w:szCs w:val="24"/>
              </w:rPr>
              <w:t>20</w:t>
            </w:r>
            <w:r w:rsidR="00871419" w:rsidRPr="00871419">
              <w:rPr>
                <w:sz w:val="24"/>
                <w:szCs w:val="24"/>
              </w:rPr>
              <w:t>21</w:t>
            </w:r>
          </w:p>
        </w:tc>
        <w:tc>
          <w:tcPr>
            <w:tcW w:w="1559" w:type="dxa"/>
            <w:tcBorders>
              <w:bottom w:val="single" w:sz="8" w:space="0" w:color="000000"/>
            </w:tcBorders>
            <w:shd w:val="clear" w:color="auto" w:fill="D9EBFF"/>
            <w:tcMar>
              <w:top w:w="0" w:type="dxa"/>
              <w:left w:w="0" w:type="dxa"/>
              <w:bottom w:w="0" w:type="dxa"/>
              <w:right w:w="0" w:type="dxa"/>
            </w:tcMar>
          </w:tcPr>
          <w:p w14:paraId="75B06234" w14:textId="77777777" w:rsidR="0054284E" w:rsidRDefault="0054284E">
            <w:pPr>
              <w:widowControl w:val="0"/>
              <w:spacing w:line="240" w:lineRule="auto"/>
              <w:rPr>
                <w:rFonts w:ascii="Times New Roman" w:eastAsia="Times New Roman" w:hAnsi="Times New Roman" w:cs="Times New Roman"/>
                <w:sz w:val="24"/>
                <w:szCs w:val="24"/>
              </w:rPr>
            </w:pPr>
          </w:p>
        </w:tc>
      </w:tr>
      <w:tr w:rsidR="0054284E" w14:paraId="5F2CACE9" w14:textId="77777777" w:rsidTr="00F8767A">
        <w:trPr>
          <w:trHeight w:val="390"/>
        </w:trPr>
        <w:tc>
          <w:tcPr>
            <w:tcW w:w="10221" w:type="dxa"/>
            <w:gridSpan w:val="2"/>
            <w:tcBorders>
              <w:top w:val="single" w:sz="8" w:space="0" w:color="000000"/>
              <w:bottom w:val="single" w:sz="8" w:space="0" w:color="000000"/>
            </w:tcBorders>
            <w:shd w:val="clear" w:color="auto" w:fill="EBF5FF"/>
            <w:tcMar>
              <w:top w:w="0" w:type="dxa"/>
              <w:left w:w="0" w:type="dxa"/>
              <w:bottom w:w="0" w:type="dxa"/>
              <w:right w:w="0" w:type="dxa"/>
            </w:tcMar>
          </w:tcPr>
          <w:p w14:paraId="434F95A5" w14:textId="77777777" w:rsidR="0054284E" w:rsidRDefault="00C41517">
            <w:pPr>
              <w:widowControl w:val="0"/>
              <w:spacing w:before="59" w:line="240" w:lineRule="auto"/>
              <w:ind w:left="72"/>
              <w:rPr>
                <w:b/>
                <w:sz w:val="24"/>
                <w:szCs w:val="24"/>
              </w:rPr>
            </w:pPr>
            <w:r>
              <w:rPr>
                <w:b/>
                <w:sz w:val="24"/>
                <w:szCs w:val="24"/>
              </w:rPr>
              <w:t>Additional details relating to the baseline emissions calculations:</w:t>
            </w:r>
          </w:p>
        </w:tc>
      </w:tr>
      <w:tr w:rsidR="00085155" w14:paraId="25D41E38" w14:textId="77777777" w:rsidTr="00F8767A">
        <w:trPr>
          <w:trHeight w:val="390"/>
        </w:trPr>
        <w:tc>
          <w:tcPr>
            <w:tcW w:w="10221" w:type="dxa"/>
            <w:gridSpan w:val="2"/>
            <w:tcBorders>
              <w:top w:val="single" w:sz="8" w:space="0" w:color="000000"/>
              <w:bottom w:val="single" w:sz="8" w:space="0" w:color="000000"/>
            </w:tcBorders>
            <w:shd w:val="clear" w:color="auto" w:fill="auto"/>
            <w:tcMar>
              <w:top w:w="0" w:type="dxa"/>
              <w:left w:w="0" w:type="dxa"/>
              <w:bottom w:w="0" w:type="dxa"/>
              <w:right w:w="0" w:type="dxa"/>
            </w:tcMar>
          </w:tcPr>
          <w:p w14:paraId="1FBCB763" w14:textId="03577911" w:rsidR="00085155" w:rsidRDefault="000322D1">
            <w:pPr>
              <w:widowControl w:val="0"/>
              <w:spacing w:line="240" w:lineRule="auto"/>
              <w:rPr>
                <w:rFonts w:ascii="Times New Roman" w:eastAsia="Times New Roman" w:hAnsi="Times New Roman" w:cs="Times New Roman"/>
                <w:sz w:val="24"/>
                <w:szCs w:val="24"/>
              </w:rPr>
            </w:pPr>
            <w:r>
              <w:rPr>
                <w:sz w:val="24"/>
                <w:szCs w:val="24"/>
              </w:rPr>
              <w:t>As part of the process resulting in target validation</w:t>
            </w:r>
            <w:r w:rsidR="00050EDE">
              <w:rPr>
                <w:sz w:val="24"/>
                <w:szCs w:val="24"/>
              </w:rPr>
              <w:t xml:space="preserve"> in April 2025</w:t>
            </w:r>
            <w:r>
              <w:rPr>
                <w:sz w:val="24"/>
                <w:szCs w:val="24"/>
              </w:rPr>
              <w:t xml:space="preserve">, </w:t>
            </w:r>
            <w:r w:rsidR="00085155" w:rsidRPr="00085155">
              <w:rPr>
                <w:sz w:val="24"/>
                <w:szCs w:val="24"/>
              </w:rPr>
              <w:t xml:space="preserve">Mölnlycke Health Care AB has submitted their GHG inventories for review by SBTi's Target Validation Team. In the calendar year of 2021 (baseline) the company has reported total of </w:t>
            </w:r>
            <w:r w:rsidR="00A768C7" w:rsidRPr="00A768C7">
              <w:rPr>
                <w:sz w:val="24"/>
                <w:szCs w:val="24"/>
              </w:rPr>
              <w:t xml:space="preserve">648,709 </w:t>
            </w:r>
            <w:r w:rsidR="00085155" w:rsidRPr="00085155">
              <w:rPr>
                <w:sz w:val="24"/>
                <w:szCs w:val="24"/>
              </w:rPr>
              <w:t>GHG emissions (tCO2e) in the full minimum boundary (scopes 1, 2 and 3). Additionally, Mölnlycke Health Care AB has reported emissions from the combustion, processing and distribution phase of bioenergy and the land use emissions and removals, associated with bioenergy feedstocks. Scope 2 emissions are reported using market-based data.</w:t>
            </w:r>
          </w:p>
        </w:tc>
      </w:tr>
      <w:tr w:rsidR="0054284E" w14:paraId="1A785F90" w14:textId="77777777" w:rsidTr="00F8767A">
        <w:trPr>
          <w:trHeight w:val="389"/>
        </w:trPr>
        <w:tc>
          <w:tcPr>
            <w:tcW w:w="8662" w:type="dxa"/>
            <w:tcBorders>
              <w:top w:val="single" w:sz="8" w:space="0" w:color="000000"/>
              <w:bottom w:val="single" w:sz="8" w:space="0" w:color="000000"/>
            </w:tcBorders>
            <w:shd w:val="clear" w:color="auto" w:fill="EBF5FF"/>
            <w:tcMar>
              <w:top w:w="0" w:type="dxa"/>
              <w:left w:w="0" w:type="dxa"/>
              <w:bottom w:w="0" w:type="dxa"/>
              <w:right w:w="0" w:type="dxa"/>
            </w:tcMar>
          </w:tcPr>
          <w:p w14:paraId="5598083C" w14:textId="77777777" w:rsidR="0054284E" w:rsidRDefault="00C41517">
            <w:pPr>
              <w:widowControl w:val="0"/>
              <w:spacing w:before="57" w:line="240" w:lineRule="auto"/>
              <w:ind w:left="72"/>
              <w:rPr>
                <w:b/>
                <w:sz w:val="24"/>
                <w:szCs w:val="24"/>
              </w:rPr>
            </w:pPr>
            <w:r>
              <w:rPr>
                <w:b/>
                <w:sz w:val="24"/>
                <w:szCs w:val="24"/>
              </w:rPr>
              <w:t>Baseline year emissions:</w:t>
            </w:r>
          </w:p>
        </w:tc>
        <w:tc>
          <w:tcPr>
            <w:tcW w:w="1559" w:type="dxa"/>
            <w:tcBorders>
              <w:top w:val="single" w:sz="8" w:space="0" w:color="000000"/>
              <w:bottom w:val="single" w:sz="8" w:space="0" w:color="000000"/>
            </w:tcBorders>
            <w:shd w:val="clear" w:color="auto" w:fill="EBF5FF"/>
            <w:tcMar>
              <w:top w:w="0" w:type="dxa"/>
              <w:left w:w="0" w:type="dxa"/>
              <w:bottom w:w="0" w:type="dxa"/>
              <w:right w:w="0" w:type="dxa"/>
            </w:tcMar>
          </w:tcPr>
          <w:p w14:paraId="4480C0FC" w14:textId="77777777" w:rsidR="0054284E" w:rsidRDefault="0054284E">
            <w:pPr>
              <w:widowControl w:val="0"/>
              <w:spacing w:line="240" w:lineRule="auto"/>
              <w:rPr>
                <w:rFonts w:ascii="Times New Roman" w:eastAsia="Times New Roman" w:hAnsi="Times New Roman" w:cs="Times New Roman"/>
                <w:sz w:val="24"/>
                <w:szCs w:val="24"/>
              </w:rPr>
            </w:pPr>
          </w:p>
        </w:tc>
      </w:tr>
      <w:tr w:rsidR="0054284E" w14:paraId="5FBA7C6A" w14:textId="77777777" w:rsidTr="00F8767A">
        <w:trPr>
          <w:trHeight w:val="390"/>
        </w:trPr>
        <w:tc>
          <w:tcPr>
            <w:tcW w:w="8662" w:type="dxa"/>
            <w:tcBorders>
              <w:top w:val="single" w:sz="8" w:space="0" w:color="000000"/>
              <w:bottom w:val="single" w:sz="8" w:space="0" w:color="000000"/>
            </w:tcBorders>
            <w:shd w:val="clear" w:color="auto" w:fill="auto"/>
            <w:tcMar>
              <w:top w:w="0" w:type="dxa"/>
              <w:left w:w="0" w:type="dxa"/>
              <w:bottom w:w="0" w:type="dxa"/>
              <w:right w:w="0" w:type="dxa"/>
            </w:tcMar>
          </w:tcPr>
          <w:p w14:paraId="16F6CCE4" w14:textId="77777777" w:rsidR="0054284E" w:rsidRDefault="00C41517">
            <w:pPr>
              <w:widowControl w:val="0"/>
              <w:spacing w:before="57" w:line="240" w:lineRule="auto"/>
              <w:ind w:left="72"/>
              <w:rPr>
                <w:b/>
                <w:sz w:val="24"/>
                <w:szCs w:val="24"/>
              </w:rPr>
            </w:pPr>
            <w:r>
              <w:rPr>
                <w:b/>
                <w:sz w:val="24"/>
                <w:szCs w:val="24"/>
              </w:rPr>
              <w:t>Emissions</w:t>
            </w:r>
          </w:p>
        </w:tc>
        <w:tc>
          <w:tcPr>
            <w:tcW w:w="1559" w:type="dxa"/>
            <w:tcBorders>
              <w:top w:val="single" w:sz="8" w:space="0" w:color="000000"/>
              <w:bottom w:val="single" w:sz="8" w:space="0" w:color="000000"/>
            </w:tcBorders>
            <w:shd w:val="clear" w:color="auto" w:fill="auto"/>
            <w:tcMar>
              <w:top w:w="0" w:type="dxa"/>
              <w:left w:w="0" w:type="dxa"/>
              <w:bottom w:w="0" w:type="dxa"/>
              <w:right w:w="0" w:type="dxa"/>
            </w:tcMar>
          </w:tcPr>
          <w:p w14:paraId="151EF570" w14:textId="77777777" w:rsidR="0054284E" w:rsidRDefault="00C41517">
            <w:pPr>
              <w:widowControl w:val="0"/>
              <w:spacing w:before="57" w:line="240" w:lineRule="auto"/>
              <w:ind w:right="56"/>
              <w:jc w:val="right"/>
              <w:rPr>
                <w:sz w:val="24"/>
                <w:szCs w:val="24"/>
              </w:rPr>
            </w:pPr>
            <w:r>
              <w:rPr>
                <w:sz w:val="24"/>
                <w:szCs w:val="24"/>
              </w:rPr>
              <w:t>Total (tCO2e)</w:t>
            </w:r>
          </w:p>
        </w:tc>
      </w:tr>
      <w:tr w:rsidR="0054284E" w14:paraId="673D5B64" w14:textId="77777777" w:rsidTr="00F8767A">
        <w:trPr>
          <w:trHeight w:val="390"/>
        </w:trPr>
        <w:tc>
          <w:tcPr>
            <w:tcW w:w="8662" w:type="dxa"/>
            <w:tcBorders>
              <w:top w:val="single" w:sz="8" w:space="0" w:color="000000"/>
              <w:bottom w:val="single" w:sz="8" w:space="0" w:color="000000"/>
            </w:tcBorders>
            <w:shd w:val="clear" w:color="auto" w:fill="auto"/>
            <w:tcMar>
              <w:top w:w="0" w:type="dxa"/>
              <w:left w:w="0" w:type="dxa"/>
              <w:bottom w:w="0" w:type="dxa"/>
              <w:right w:w="0" w:type="dxa"/>
            </w:tcMar>
          </w:tcPr>
          <w:p w14:paraId="1043C73A" w14:textId="77777777" w:rsidR="0054284E" w:rsidRDefault="00C41517">
            <w:pPr>
              <w:widowControl w:val="0"/>
              <w:spacing w:before="57" w:line="240" w:lineRule="auto"/>
              <w:ind w:left="72"/>
              <w:rPr>
                <w:b/>
                <w:sz w:val="24"/>
                <w:szCs w:val="24"/>
              </w:rPr>
            </w:pPr>
            <w:r>
              <w:rPr>
                <w:b/>
                <w:sz w:val="24"/>
                <w:szCs w:val="24"/>
              </w:rPr>
              <w:t>Scope 1</w:t>
            </w:r>
          </w:p>
        </w:tc>
        <w:tc>
          <w:tcPr>
            <w:tcW w:w="1559" w:type="dxa"/>
            <w:tcBorders>
              <w:top w:val="single" w:sz="8" w:space="0" w:color="000000"/>
              <w:bottom w:val="single" w:sz="8" w:space="0" w:color="000000"/>
            </w:tcBorders>
            <w:shd w:val="clear" w:color="auto" w:fill="auto"/>
            <w:tcMar>
              <w:top w:w="0" w:type="dxa"/>
              <w:left w:w="0" w:type="dxa"/>
              <w:bottom w:w="0" w:type="dxa"/>
              <w:right w:w="0" w:type="dxa"/>
            </w:tcMar>
          </w:tcPr>
          <w:p w14:paraId="133EB1F2" w14:textId="0C453E8F" w:rsidR="0054284E" w:rsidRPr="00871419" w:rsidRDefault="00871419">
            <w:pPr>
              <w:widowControl w:val="0"/>
              <w:spacing w:before="57" w:line="240" w:lineRule="auto"/>
              <w:ind w:right="56"/>
              <w:jc w:val="right"/>
              <w:rPr>
                <w:sz w:val="24"/>
                <w:szCs w:val="24"/>
              </w:rPr>
            </w:pPr>
            <w:r w:rsidRPr="00871419">
              <w:rPr>
                <w:sz w:val="24"/>
                <w:szCs w:val="24"/>
              </w:rPr>
              <w:t>51,607</w:t>
            </w:r>
          </w:p>
        </w:tc>
      </w:tr>
      <w:tr w:rsidR="0054284E" w14:paraId="3ABDDFCE" w14:textId="77777777" w:rsidTr="00F8767A">
        <w:trPr>
          <w:trHeight w:val="389"/>
        </w:trPr>
        <w:tc>
          <w:tcPr>
            <w:tcW w:w="8662" w:type="dxa"/>
            <w:tcBorders>
              <w:top w:val="single" w:sz="8" w:space="0" w:color="000000"/>
              <w:bottom w:val="single" w:sz="8" w:space="0" w:color="000000"/>
            </w:tcBorders>
            <w:shd w:val="clear" w:color="auto" w:fill="auto"/>
            <w:tcMar>
              <w:top w:w="0" w:type="dxa"/>
              <w:left w:w="0" w:type="dxa"/>
              <w:bottom w:w="0" w:type="dxa"/>
              <w:right w:w="0" w:type="dxa"/>
            </w:tcMar>
          </w:tcPr>
          <w:p w14:paraId="37E7FA4C" w14:textId="77777777" w:rsidR="0054284E" w:rsidRDefault="00C41517">
            <w:pPr>
              <w:widowControl w:val="0"/>
              <w:spacing w:before="57" w:line="240" w:lineRule="auto"/>
              <w:ind w:left="72"/>
              <w:rPr>
                <w:b/>
                <w:sz w:val="24"/>
                <w:szCs w:val="24"/>
              </w:rPr>
            </w:pPr>
            <w:r>
              <w:rPr>
                <w:b/>
                <w:sz w:val="24"/>
                <w:szCs w:val="24"/>
              </w:rPr>
              <w:t>Scope 2</w:t>
            </w:r>
          </w:p>
        </w:tc>
        <w:tc>
          <w:tcPr>
            <w:tcW w:w="1559" w:type="dxa"/>
            <w:tcBorders>
              <w:top w:val="single" w:sz="8" w:space="0" w:color="000000"/>
              <w:bottom w:val="single" w:sz="8" w:space="0" w:color="000000"/>
            </w:tcBorders>
            <w:shd w:val="clear" w:color="auto" w:fill="auto"/>
            <w:tcMar>
              <w:top w:w="0" w:type="dxa"/>
              <w:left w:w="0" w:type="dxa"/>
              <w:bottom w:w="0" w:type="dxa"/>
              <w:right w:w="0" w:type="dxa"/>
            </w:tcMar>
          </w:tcPr>
          <w:p w14:paraId="597A0FD2" w14:textId="22CAD781" w:rsidR="0054284E" w:rsidRPr="00871419" w:rsidRDefault="00871419">
            <w:pPr>
              <w:widowControl w:val="0"/>
              <w:spacing w:before="57" w:line="240" w:lineRule="auto"/>
              <w:ind w:right="56"/>
              <w:jc w:val="right"/>
              <w:rPr>
                <w:sz w:val="24"/>
                <w:szCs w:val="24"/>
              </w:rPr>
            </w:pPr>
            <w:r w:rsidRPr="00871419">
              <w:rPr>
                <w:sz w:val="24"/>
                <w:szCs w:val="24"/>
              </w:rPr>
              <w:t>52,605</w:t>
            </w:r>
          </w:p>
        </w:tc>
      </w:tr>
      <w:tr w:rsidR="0054284E" w14:paraId="5A36656E" w14:textId="77777777" w:rsidTr="00F8767A">
        <w:trPr>
          <w:trHeight w:val="390"/>
        </w:trPr>
        <w:tc>
          <w:tcPr>
            <w:tcW w:w="8662" w:type="dxa"/>
            <w:tcBorders>
              <w:top w:val="single" w:sz="8" w:space="0" w:color="000000"/>
              <w:bottom w:val="single" w:sz="8" w:space="0" w:color="000000"/>
            </w:tcBorders>
            <w:shd w:val="clear" w:color="auto" w:fill="auto"/>
            <w:tcMar>
              <w:top w:w="0" w:type="dxa"/>
              <w:left w:w="0" w:type="dxa"/>
              <w:bottom w:w="0" w:type="dxa"/>
              <w:right w:w="0" w:type="dxa"/>
            </w:tcMar>
          </w:tcPr>
          <w:p w14:paraId="213FA69F" w14:textId="29F1B8C9" w:rsidR="0054284E" w:rsidRDefault="00C41517">
            <w:pPr>
              <w:widowControl w:val="0"/>
              <w:spacing w:before="57" w:line="240" w:lineRule="auto"/>
              <w:ind w:left="72"/>
            </w:pPr>
            <w:r>
              <w:rPr>
                <w:b/>
                <w:sz w:val="24"/>
                <w:szCs w:val="24"/>
              </w:rPr>
              <w:t xml:space="preserve">Scope 3 </w:t>
            </w:r>
            <w:r>
              <w:rPr>
                <w:sz w:val="24"/>
                <w:szCs w:val="24"/>
              </w:rPr>
              <w:t>(</w:t>
            </w:r>
            <w:r w:rsidR="00871419">
              <w:rPr>
                <w:sz w:val="24"/>
                <w:szCs w:val="24"/>
              </w:rPr>
              <w:t>all categories</w:t>
            </w:r>
            <w:r>
              <w:rPr>
                <w:sz w:val="24"/>
                <w:szCs w:val="24"/>
              </w:rPr>
              <w:t>)</w:t>
            </w:r>
          </w:p>
        </w:tc>
        <w:tc>
          <w:tcPr>
            <w:tcW w:w="1559" w:type="dxa"/>
            <w:tcBorders>
              <w:top w:val="single" w:sz="8" w:space="0" w:color="000000"/>
              <w:bottom w:val="single" w:sz="8" w:space="0" w:color="000000"/>
            </w:tcBorders>
            <w:shd w:val="clear" w:color="auto" w:fill="auto"/>
            <w:tcMar>
              <w:top w:w="0" w:type="dxa"/>
              <w:left w:w="0" w:type="dxa"/>
              <w:bottom w:w="0" w:type="dxa"/>
              <w:right w:w="0" w:type="dxa"/>
            </w:tcMar>
          </w:tcPr>
          <w:p w14:paraId="21E7F1DD" w14:textId="5C645477" w:rsidR="0054284E" w:rsidRPr="00871419" w:rsidRDefault="00871419">
            <w:pPr>
              <w:widowControl w:val="0"/>
              <w:spacing w:before="57" w:line="240" w:lineRule="auto"/>
              <w:ind w:right="56"/>
              <w:jc w:val="right"/>
              <w:rPr>
                <w:sz w:val="24"/>
                <w:szCs w:val="24"/>
              </w:rPr>
            </w:pPr>
            <w:r w:rsidRPr="00871419">
              <w:rPr>
                <w:sz w:val="24"/>
                <w:szCs w:val="24"/>
              </w:rPr>
              <w:t>544,497</w:t>
            </w:r>
          </w:p>
        </w:tc>
      </w:tr>
      <w:tr w:rsidR="0054284E" w14:paraId="77864F9A" w14:textId="77777777" w:rsidTr="00F8767A">
        <w:trPr>
          <w:trHeight w:val="390"/>
        </w:trPr>
        <w:tc>
          <w:tcPr>
            <w:tcW w:w="8662" w:type="dxa"/>
            <w:tcBorders>
              <w:top w:val="single" w:sz="8" w:space="0" w:color="000000"/>
              <w:bottom w:val="single" w:sz="8" w:space="0" w:color="000000"/>
            </w:tcBorders>
            <w:shd w:val="clear" w:color="auto" w:fill="EBF5FF"/>
            <w:tcMar>
              <w:top w:w="0" w:type="dxa"/>
              <w:left w:w="0" w:type="dxa"/>
              <w:bottom w:w="0" w:type="dxa"/>
              <w:right w:w="0" w:type="dxa"/>
            </w:tcMar>
          </w:tcPr>
          <w:p w14:paraId="73DE0500" w14:textId="77777777" w:rsidR="0054284E" w:rsidRDefault="00C41517">
            <w:pPr>
              <w:widowControl w:val="0"/>
              <w:spacing w:before="57" w:line="240" w:lineRule="auto"/>
              <w:ind w:left="72"/>
              <w:rPr>
                <w:b/>
                <w:sz w:val="24"/>
                <w:szCs w:val="24"/>
              </w:rPr>
            </w:pPr>
            <w:r>
              <w:rPr>
                <w:b/>
                <w:sz w:val="24"/>
                <w:szCs w:val="24"/>
              </w:rPr>
              <w:t>Total emissions</w:t>
            </w:r>
          </w:p>
        </w:tc>
        <w:tc>
          <w:tcPr>
            <w:tcW w:w="1559" w:type="dxa"/>
            <w:tcBorders>
              <w:top w:val="single" w:sz="8" w:space="0" w:color="000000"/>
              <w:bottom w:val="single" w:sz="8" w:space="0" w:color="000000"/>
            </w:tcBorders>
            <w:shd w:val="clear" w:color="auto" w:fill="EBF5FF"/>
            <w:tcMar>
              <w:top w:w="0" w:type="dxa"/>
              <w:left w:w="0" w:type="dxa"/>
              <w:bottom w:w="0" w:type="dxa"/>
              <w:right w:w="0" w:type="dxa"/>
            </w:tcMar>
          </w:tcPr>
          <w:p w14:paraId="2772BB40" w14:textId="22850CF8" w:rsidR="0054284E" w:rsidRPr="00871419" w:rsidRDefault="00871419">
            <w:pPr>
              <w:widowControl w:val="0"/>
              <w:spacing w:before="57" w:line="240" w:lineRule="auto"/>
              <w:ind w:right="56"/>
              <w:jc w:val="right"/>
              <w:rPr>
                <w:sz w:val="24"/>
                <w:szCs w:val="24"/>
              </w:rPr>
            </w:pPr>
            <w:r w:rsidRPr="00871419">
              <w:rPr>
                <w:sz w:val="24"/>
                <w:szCs w:val="24"/>
              </w:rPr>
              <w:t>648,709</w:t>
            </w:r>
          </w:p>
        </w:tc>
      </w:tr>
    </w:tbl>
    <w:p w14:paraId="76A8C07A" w14:textId="77777777" w:rsidR="0054284E" w:rsidRDefault="0054284E">
      <w:pPr>
        <w:widowControl w:val="0"/>
        <w:spacing w:line="240" w:lineRule="auto"/>
        <w:rPr>
          <w:sz w:val="24"/>
          <w:szCs w:val="24"/>
        </w:rPr>
      </w:pPr>
    </w:p>
    <w:p w14:paraId="42ECFA23" w14:textId="77777777" w:rsidR="0054284E" w:rsidRDefault="0054284E">
      <w:pPr>
        <w:widowControl w:val="0"/>
        <w:spacing w:before="16" w:line="240" w:lineRule="auto"/>
        <w:rPr>
          <w:sz w:val="24"/>
          <w:szCs w:val="24"/>
        </w:rPr>
      </w:pPr>
    </w:p>
    <w:p w14:paraId="1844E743" w14:textId="77777777" w:rsidR="0054284E" w:rsidRDefault="00C41517">
      <w:pPr>
        <w:pStyle w:val="Heading3"/>
        <w:keepNext w:val="0"/>
        <w:keepLines w:val="0"/>
        <w:widowControl w:val="0"/>
        <w:spacing w:before="0" w:after="0" w:line="240" w:lineRule="auto"/>
        <w:ind w:left="134"/>
        <w:rPr>
          <w:b/>
          <w:color w:val="000000"/>
        </w:rPr>
      </w:pPr>
      <w:bookmarkStart w:id="3" w:name="kix.eys3hmgz4lan"/>
      <w:bookmarkEnd w:id="3"/>
      <w:r>
        <w:rPr>
          <w:b/>
          <w:color w:val="000000"/>
        </w:rPr>
        <w:t>Current emissions reporting</w:t>
      </w:r>
    </w:p>
    <w:p w14:paraId="2668A0F3" w14:textId="77777777" w:rsidR="0054284E" w:rsidRDefault="0054284E">
      <w:pPr>
        <w:widowControl w:val="0"/>
        <w:spacing w:before="1" w:line="240" w:lineRule="auto"/>
        <w:rPr>
          <w:b/>
          <w:sz w:val="6"/>
          <w:szCs w:val="6"/>
        </w:rPr>
      </w:pPr>
    </w:p>
    <w:tbl>
      <w:tblPr>
        <w:tblW w:w="10221" w:type="dxa"/>
        <w:tblInd w:w="127" w:type="dxa"/>
        <w:tblLayout w:type="fixed"/>
        <w:tblCellMar>
          <w:left w:w="10" w:type="dxa"/>
          <w:right w:w="10" w:type="dxa"/>
        </w:tblCellMar>
        <w:tblLook w:val="04A0" w:firstRow="1" w:lastRow="0" w:firstColumn="1" w:lastColumn="0" w:noHBand="0" w:noVBand="1"/>
      </w:tblPr>
      <w:tblGrid>
        <w:gridCol w:w="5461"/>
        <w:gridCol w:w="4760"/>
      </w:tblGrid>
      <w:tr w:rsidR="0054284E" w14:paraId="7011EA64" w14:textId="77777777" w:rsidTr="00AA673C">
        <w:trPr>
          <w:trHeight w:val="390"/>
        </w:trPr>
        <w:tc>
          <w:tcPr>
            <w:tcW w:w="5461" w:type="dxa"/>
            <w:tcBorders>
              <w:bottom w:val="single" w:sz="8" w:space="0" w:color="000000"/>
            </w:tcBorders>
            <w:shd w:val="clear" w:color="auto" w:fill="D9EBFF"/>
            <w:tcMar>
              <w:top w:w="0" w:type="dxa"/>
              <w:left w:w="0" w:type="dxa"/>
              <w:bottom w:w="0" w:type="dxa"/>
              <w:right w:w="0" w:type="dxa"/>
            </w:tcMar>
          </w:tcPr>
          <w:p w14:paraId="16F3592E" w14:textId="4BD198CA" w:rsidR="0054284E" w:rsidRDefault="00C41517">
            <w:pPr>
              <w:widowControl w:val="0"/>
              <w:spacing w:before="58" w:line="240" w:lineRule="auto"/>
              <w:ind w:left="72"/>
            </w:pPr>
            <w:r>
              <w:rPr>
                <w:b/>
                <w:sz w:val="24"/>
                <w:szCs w:val="24"/>
              </w:rPr>
              <w:t>Reporting year: 20</w:t>
            </w:r>
            <w:r w:rsidR="00085155">
              <w:rPr>
                <w:b/>
                <w:sz w:val="24"/>
                <w:szCs w:val="24"/>
              </w:rPr>
              <w:t>24</w:t>
            </w:r>
          </w:p>
        </w:tc>
        <w:tc>
          <w:tcPr>
            <w:tcW w:w="4760" w:type="dxa"/>
            <w:tcBorders>
              <w:bottom w:val="single" w:sz="8" w:space="0" w:color="000000"/>
            </w:tcBorders>
            <w:shd w:val="clear" w:color="auto" w:fill="D9EBFF"/>
            <w:tcMar>
              <w:top w:w="0" w:type="dxa"/>
              <w:left w:w="0" w:type="dxa"/>
              <w:bottom w:w="0" w:type="dxa"/>
              <w:right w:w="0" w:type="dxa"/>
            </w:tcMar>
          </w:tcPr>
          <w:p w14:paraId="10B0F774" w14:textId="77777777" w:rsidR="0054284E" w:rsidRDefault="0054284E">
            <w:pPr>
              <w:widowControl w:val="0"/>
              <w:spacing w:line="240" w:lineRule="auto"/>
              <w:rPr>
                <w:rFonts w:ascii="Times New Roman" w:eastAsia="Times New Roman" w:hAnsi="Times New Roman" w:cs="Times New Roman"/>
                <w:sz w:val="24"/>
                <w:szCs w:val="24"/>
              </w:rPr>
            </w:pPr>
          </w:p>
        </w:tc>
      </w:tr>
      <w:tr w:rsidR="0054284E" w14:paraId="3A4D4441" w14:textId="77777777" w:rsidTr="00AA673C">
        <w:trPr>
          <w:trHeight w:val="389"/>
        </w:trPr>
        <w:tc>
          <w:tcPr>
            <w:tcW w:w="5461" w:type="dxa"/>
            <w:tcBorders>
              <w:top w:val="single" w:sz="8" w:space="0" w:color="000000"/>
              <w:bottom w:val="single" w:sz="8" w:space="0" w:color="000000"/>
            </w:tcBorders>
            <w:shd w:val="clear" w:color="auto" w:fill="auto"/>
            <w:tcMar>
              <w:top w:w="0" w:type="dxa"/>
              <w:left w:w="0" w:type="dxa"/>
              <w:bottom w:w="0" w:type="dxa"/>
              <w:right w:w="0" w:type="dxa"/>
            </w:tcMar>
          </w:tcPr>
          <w:p w14:paraId="7A59E294" w14:textId="77777777" w:rsidR="0054284E" w:rsidRDefault="00C41517">
            <w:pPr>
              <w:widowControl w:val="0"/>
              <w:spacing w:before="57" w:line="240" w:lineRule="auto"/>
              <w:ind w:left="72"/>
              <w:rPr>
                <w:b/>
                <w:sz w:val="24"/>
                <w:szCs w:val="24"/>
              </w:rPr>
            </w:pPr>
            <w:r>
              <w:rPr>
                <w:b/>
                <w:sz w:val="24"/>
                <w:szCs w:val="24"/>
              </w:rPr>
              <w:t>Emissions</w:t>
            </w:r>
          </w:p>
        </w:tc>
        <w:tc>
          <w:tcPr>
            <w:tcW w:w="4760" w:type="dxa"/>
            <w:tcBorders>
              <w:top w:val="single" w:sz="8" w:space="0" w:color="000000"/>
              <w:bottom w:val="single" w:sz="8" w:space="0" w:color="000000"/>
            </w:tcBorders>
            <w:shd w:val="clear" w:color="auto" w:fill="auto"/>
            <w:tcMar>
              <w:top w:w="0" w:type="dxa"/>
              <w:left w:w="0" w:type="dxa"/>
              <w:bottom w:w="0" w:type="dxa"/>
              <w:right w:w="0" w:type="dxa"/>
            </w:tcMar>
          </w:tcPr>
          <w:p w14:paraId="65564977" w14:textId="77777777" w:rsidR="0054284E" w:rsidRDefault="00C41517">
            <w:pPr>
              <w:widowControl w:val="0"/>
              <w:spacing w:before="57" w:line="240" w:lineRule="auto"/>
              <w:ind w:right="55"/>
              <w:jc w:val="right"/>
              <w:rPr>
                <w:sz w:val="24"/>
                <w:szCs w:val="24"/>
              </w:rPr>
            </w:pPr>
            <w:r>
              <w:rPr>
                <w:sz w:val="24"/>
                <w:szCs w:val="24"/>
              </w:rPr>
              <w:t>TOTAL (tCO2e)</w:t>
            </w:r>
          </w:p>
        </w:tc>
      </w:tr>
      <w:tr w:rsidR="0054284E" w14:paraId="5596FBC0" w14:textId="77777777" w:rsidTr="00AA673C">
        <w:trPr>
          <w:trHeight w:val="390"/>
        </w:trPr>
        <w:tc>
          <w:tcPr>
            <w:tcW w:w="5461" w:type="dxa"/>
            <w:tcBorders>
              <w:top w:val="single" w:sz="8" w:space="0" w:color="000000"/>
              <w:bottom w:val="single" w:sz="8" w:space="0" w:color="000000"/>
            </w:tcBorders>
            <w:shd w:val="clear" w:color="auto" w:fill="auto"/>
            <w:tcMar>
              <w:top w:w="0" w:type="dxa"/>
              <w:left w:w="0" w:type="dxa"/>
              <w:bottom w:w="0" w:type="dxa"/>
              <w:right w:w="0" w:type="dxa"/>
            </w:tcMar>
          </w:tcPr>
          <w:p w14:paraId="41404C47" w14:textId="77777777" w:rsidR="0054284E" w:rsidRDefault="00C41517">
            <w:pPr>
              <w:widowControl w:val="0"/>
              <w:spacing w:before="57" w:line="240" w:lineRule="auto"/>
              <w:ind w:left="72"/>
              <w:rPr>
                <w:b/>
                <w:sz w:val="24"/>
                <w:szCs w:val="24"/>
              </w:rPr>
            </w:pPr>
            <w:r>
              <w:rPr>
                <w:b/>
                <w:sz w:val="24"/>
                <w:szCs w:val="24"/>
              </w:rPr>
              <w:t>Scope 1</w:t>
            </w:r>
          </w:p>
        </w:tc>
        <w:tc>
          <w:tcPr>
            <w:tcW w:w="4760" w:type="dxa"/>
            <w:tcBorders>
              <w:top w:val="single" w:sz="8" w:space="0" w:color="000000"/>
              <w:bottom w:val="single" w:sz="8" w:space="0" w:color="000000"/>
            </w:tcBorders>
            <w:shd w:val="clear" w:color="auto" w:fill="auto"/>
            <w:tcMar>
              <w:top w:w="0" w:type="dxa"/>
              <w:left w:w="0" w:type="dxa"/>
              <w:bottom w:w="0" w:type="dxa"/>
              <w:right w:w="0" w:type="dxa"/>
            </w:tcMar>
          </w:tcPr>
          <w:p w14:paraId="5ABB1163" w14:textId="6E2EC5FD" w:rsidR="0054284E" w:rsidRPr="00F8767A" w:rsidRDefault="00F8767A" w:rsidP="00F8767A">
            <w:pPr>
              <w:widowControl w:val="0"/>
              <w:spacing w:before="57" w:line="240" w:lineRule="auto"/>
              <w:ind w:right="56"/>
              <w:jc w:val="right"/>
              <w:rPr>
                <w:sz w:val="24"/>
                <w:szCs w:val="24"/>
              </w:rPr>
            </w:pPr>
            <w:r w:rsidRPr="00F8767A">
              <w:rPr>
                <w:sz w:val="24"/>
                <w:szCs w:val="24"/>
              </w:rPr>
              <w:t>52,356</w:t>
            </w:r>
          </w:p>
        </w:tc>
      </w:tr>
      <w:tr w:rsidR="0054284E" w14:paraId="5687DF5D" w14:textId="77777777" w:rsidTr="00AA673C">
        <w:trPr>
          <w:trHeight w:val="389"/>
        </w:trPr>
        <w:tc>
          <w:tcPr>
            <w:tcW w:w="5461" w:type="dxa"/>
            <w:tcBorders>
              <w:top w:val="single" w:sz="8" w:space="0" w:color="000000"/>
              <w:bottom w:val="single" w:sz="8" w:space="0" w:color="000000"/>
            </w:tcBorders>
            <w:shd w:val="clear" w:color="auto" w:fill="auto"/>
            <w:tcMar>
              <w:top w:w="0" w:type="dxa"/>
              <w:left w:w="0" w:type="dxa"/>
              <w:bottom w:w="0" w:type="dxa"/>
              <w:right w:w="0" w:type="dxa"/>
            </w:tcMar>
          </w:tcPr>
          <w:p w14:paraId="1C44C719" w14:textId="77777777" w:rsidR="0054284E" w:rsidRDefault="00C41517">
            <w:pPr>
              <w:widowControl w:val="0"/>
              <w:spacing w:before="57" w:line="240" w:lineRule="auto"/>
              <w:ind w:left="72"/>
              <w:rPr>
                <w:b/>
                <w:sz w:val="24"/>
                <w:szCs w:val="24"/>
              </w:rPr>
            </w:pPr>
            <w:r>
              <w:rPr>
                <w:b/>
                <w:sz w:val="24"/>
                <w:szCs w:val="24"/>
              </w:rPr>
              <w:t>Scope 2</w:t>
            </w:r>
          </w:p>
        </w:tc>
        <w:tc>
          <w:tcPr>
            <w:tcW w:w="4760" w:type="dxa"/>
            <w:tcBorders>
              <w:top w:val="single" w:sz="8" w:space="0" w:color="000000"/>
              <w:bottom w:val="single" w:sz="8" w:space="0" w:color="000000"/>
            </w:tcBorders>
            <w:shd w:val="clear" w:color="auto" w:fill="auto"/>
            <w:tcMar>
              <w:top w:w="0" w:type="dxa"/>
              <w:left w:w="0" w:type="dxa"/>
              <w:bottom w:w="0" w:type="dxa"/>
              <w:right w:w="0" w:type="dxa"/>
            </w:tcMar>
          </w:tcPr>
          <w:p w14:paraId="1596D576" w14:textId="61D717EA" w:rsidR="0054284E" w:rsidRPr="00F8767A" w:rsidRDefault="00F8767A" w:rsidP="00F8767A">
            <w:pPr>
              <w:widowControl w:val="0"/>
              <w:spacing w:before="57" w:line="240" w:lineRule="auto"/>
              <w:ind w:right="56"/>
              <w:jc w:val="right"/>
              <w:rPr>
                <w:sz w:val="24"/>
                <w:szCs w:val="24"/>
              </w:rPr>
            </w:pPr>
            <w:r w:rsidRPr="00F8767A">
              <w:rPr>
                <w:sz w:val="24"/>
                <w:szCs w:val="24"/>
              </w:rPr>
              <w:t>10,513</w:t>
            </w:r>
          </w:p>
        </w:tc>
      </w:tr>
      <w:tr w:rsidR="0054284E" w14:paraId="0A75F828" w14:textId="77777777" w:rsidTr="00AA673C">
        <w:trPr>
          <w:trHeight w:val="390"/>
        </w:trPr>
        <w:tc>
          <w:tcPr>
            <w:tcW w:w="5461" w:type="dxa"/>
            <w:tcBorders>
              <w:top w:val="single" w:sz="8" w:space="0" w:color="000000"/>
              <w:bottom w:val="single" w:sz="8" w:space="0" w:color="000000"/>
            </w:tcBorders>
            <w:shd w:val="clear" w:color="auto" w:fill="auto"/>
            <w:tcMar>
              <w:top w:w="0" w:type="dxa"/>
              <w:left w:w="0" w:type="dxa"/>
              <w:bottom w:w="0" w:type="dxa"/>
              <w:right w:w="0" w:type="dxa"/>
            </w:tcMar>
          </w:tcPr>
          <w:p w14:paraId="3590E846" w14:textId="22C82B56" w:rsidR="0054284E" w:rsidRDefault="00C41517">
            <w:pPr>
              <w:widowControl w:val="0"/>
              <w:spacing w:before="59" w:line="240" w:lineRule="auto"/>
              <w:ind w:left="72"/>
            </w:pPr>
            <w:r>
              <w:rPr>
                <w:b/>
                <w:sz w:val="24"/>
                <w:szCs w:val="24"/>
              </w:rPr>
              <w:t xml:space="preserve">Scope 3 </w:t>
            </w:r>
            <w:r>
              <w:rPr>
                <w:sz w:val="24"/>
                <w:szCs w:val="24"/>
              </w:rPr>
              <w:t>(</w:t>
            </w:r>
            <w:r w:rsidR="00F8767A">
              <w:rPr>
                <w:sz w:val="24"/>
                <w:szCs w:val="24"/>
              </w:rPr>
              <w:t>all categories</w:t>
            </w:r>
            <w:r>
              <w:rPr>
                <w:sz w:val="24"/>
                <w:szCs w:val="24"/>
              </w:rPr>
              <w:t>)</w:t>
            </w:r>
          </w:p>
        </w:tc>
        <w:tc>
          <w:tcPr>
            <w:tcW w:w="4760" w:type="dxa"/>
            <w:tcBorders>
              <w:top w:val="single" w:sz="8" w:space="0" w:color="000000"/>
              <w:bottom w:val="single" w:sz="8" w:space="0" w:color="000000"/>
            </w:tcBorders>
            <w:shd w:val="clear" w:color="auto" w:fill="auto"/>
            <w:tcMar>
              <w:top w:w="0" w:type="dxa"/>
              <w:left w:w="0" w:type="dxa"/>
              <w:bottom w:w="0" w:type="dxa"/>
              <w:right w:w="0" w:type="dxa"/>
            </w:tcMar>
          </w:tcPr>
          <w:p w14:paraId="132B9814" w14:textId="2C418D68" w:rsidR="0054284E" w:rsidRPr="00F8767A" w:rsidRDefault="00F8767A" w:rsidP="00F8767A">
            <w:pPr>
              <w:widowControl w:val="0"/>
              <w:spacing w:before="57" w:line="240" w:lineRule="auto"/>
              <w:ind w:right="56"/>
              <w:jc w:val="right"/>
              <w:rPr>
                <w:sz w:val="24"/>
                <w:szCs w:val="24"/>
              </w:rPr>
            </w:pPr>
            <w:r w:rsidRPr="00F8767A">
              <w:rPr>
                <w:sz w:val="24"/>
                <w:szCs w:val="24"/>
              </w:rPr>
              <w:t>486,261</w:t>
            </w:r>
          </w:p>
        </w:tc>
      </w:tr>
      <w:tr w:rsidR="0054284E" w14:paraId="5AD5559B" w14:textId="77777777" w:rsidTr="00AA673C">
        <w:trPr>
          <w:trHeight w:val="390"/>
        </w:trPr>
        <w:tc>
          <w:tcPr>
            <w:tcW w:w="5461" w:type="dxa"/>
            <w:tcBorders>
              <w:top w:val="single" w:sz="8" w:space="0" w:color="000000"/>
              <w:bottom w:val="single" w:sz="8" w:space="0" w:color="000000"/>
            </w:tcBorders>
            <w:shd w:val="clear" w:color="auto" w:fill="EBF5FF"/>
            <w:tcMar>
              <w:top w:w="0" w:type="dxa"/>
              <w:left w:w="0" w:type="dxa"/>
              <w:bottom w:w="0" w:type="dxa"/>
              <w:right w:w="0" w:type="dxa"/>
            </w:tcMar>
          </w:tcPr>
          <w:p w14:paraId="6ABDD58B" w14:textId="77777777" w:rsidR="0054284E" w:rsidRDefault="00C41517">
            <w:pPr>
              <w:widowControl w:val="0"/>
              <w:spacing w:before="57" w:line="240" w:lineRule="auto"/>
              <w:ind w:left="72"/>
              <w:rPr>
                <w:b/>
                <w:sz w:val="24"/>
                <w:szCs w:val="24"/>
              </w:rPr>
            </w:pPr>
            <w:r>
              <w:rPr>
                <w:b/>
                <w:sz w:val="24"/>
                <w:szCs w:val="24"/>
              </w:rPr>
              <w:t>Total emissions</w:t>
            </w:r>
          </w:p>
        </w:tc>
        <w:tc>
          <w:tcPr>
            <w:tcW w:w="4760" w:type="dxa"/>
            <w:tcBorders>
              <w:top w:val="single" w:sz="8" w:space="0" w:color="000000"/>
              <w:bottom w:val="single" w:sz="8" w:space="0" w:color="000000"/>
            </w:tcBorders>
            <w:shd w:val="clear" w:color="auto" w:fill="EBF5FF"/>
            <w:tcMar>
              <w:top w:w="0" w:type="dxa"/>
              <w:left w:w="0" w:type="dxa"/>
              <w:bottom w:w="0" w:type="dxa"/>
              <w:right w:w="0" w:type="dxa"/>
            </w:tcMar>
          </w:tcPr>
          <w:p w14:paraId="0FB62C7C" w14:textId="6707C12C" w:rsidR="0054284E" w:rsidRPr="00F8767A" w:rsidRDefault="00F8767A" w:rsidP="00F8767A">
            <w:pPr>
              <w:widowControl w:val="0"/>
              <w:spacing w:before="57" w:line="240" w:lineRule="auto"/>
              <w:ind w:right="56"/>
              <w:jc w:val="right"/>
              <w:rPr>
                <w:sz w:val="24"/>
                <w:szCs w:val="24"/>
              </w:rPr>
            </w:pPr>
            <w:r w:rsidRPr="00F8767A">
              <w:rPr>
                <w:sz w:val="24"/>
                <w:szCs w:val="24"/>
              </w:rPr>
              <w:t>549,129</w:t>
            </w:r>
          </w:p>
        </w:tc>
      </w:tr>
    </w:tbl>
    <w:p w14:paraId="4541FCDD" w14:textId="77777777" w:rsidR="00C41517" w:rsidRDefault="00C41517">
      <w:pPr>
        <w:sectPr w:rsidR="00C41517">
          <w:pgSz w:w="11909" w:h="16834"/>
          <w:pgMar w:top="1040" w:right="1020" w:bottom="820" w:left="1000" w:header="720" w:footer="720" w:gutter="0"/>
          <w:cols w:space="720"/>
        </w:sectPr>
      </w:pPr>
    </w:p>
    <w:p w14:paraId="0F8E9729" w14:textId="77777777" w:rsidR="0054284E" w:rsidRDefault="00C41517">
      <w:pPr>
        <w:widowControl w:val="0"/>
        <w:spacing w:before="74" w:line="240" w:lineRule="auto"/>
        <w:ind w:left="134"/>
        <w:rPr>
          <w:b/>
          <w:sz w:val="28"/>
          <w:szCs w:val="28"/>
        </w:rPr>
      </w:pPr>
      <w:bookmarkStart w:id="4" w:name="kix.l5kb1wy24jju"/>
      <w:bookmarkEnd w:id="4"/>
      <w:r>
        <w:rPr>
          <w:b/>
          <w:sz w:val="28"/>
          <w:szCs w:val="28"/>
        </w:rPr>
        <w:lastRenderedPageBreak/>
        <w:t>Emissions reduction targets</w:t>
      </w:r>
    </w:p>
    <w:p w14:paraId="6C49B072" w14:textId="7A766AA4" w:rsidR="0054284E" w:rsidRDefault="00C41517">
      <w:pPr>
        <w:widowControl w:val="0"/>
        <w:spacing w:before="81" w:line="240" w:lineRule="auto"/>
        <w:ind w:left="134"/>
        <w:rPr>
          <w:sz w:val="24"/>
          <w:szCs w:val="24"/>
        </w:rPr>
      </w:pPr>
      <w:r>
        <w:rPr>
          <w:sz w:val="24"/>
          <w:szCs w:val="24"/>
        </w:rPr>
        <w:t>In order to continue our progress to achieving net zero, we have adopted the following carbon reduction targets</w:t>
      </w:r>
      <w:r w:rsidR="006F3D7C">
        <w:rPr>
          <w:sz w:val="24"/>
          <w:szCs w:val="24"/>
        </w:rPr>
        <w:t>:</w:t>
      </w:r>
    </w:p>
    <w:p w14:paraId="528BA3C6" w14:textId="25099683" w:rsidR="00B077BF" w:rsidRPr="00036D5A" w:rsidRDefault="00B077BF" w:rsidP="00036D5A">
      <w:pPr>
        <w:widowControl w:val="0"/>
        <w:spacing w:before="81" w:line="240" w:lineRule="auto"/>
        <w:ind w:left="134"/>
        <w:rPr>
          <w:sz w:val="24"/>
          <w:szCs w:val="24"/>
        </w:rPr>
      </w:pPr>
      <w:r w:rsidRPr="00036D5A">
        <w:rPr>
          <w:sz w:val="24"/>
          <w:szCs w:val="24"/>
        </w:rPr>
        <w:t>All of the following targets, both near term and Net Zero, have been validated by SBTi.</w:t>
      </w:r>
    </w:p>
    <w:p w14:paraId="3B766EDF" w14:textId="6168F8FF" w:rsidR="00C0370F" w:rsidRPr="00036D5A" w:rsidRDefault="00F8767A" w:rsidP="00036D5A">
      <w:pPr>
        <w:widowControl w:val="0"/>
        <w:spacing w:before="81" w:line="240" w:lineRule="auto"/>
        <w:ind w:left="134"/>
        <w:rPr>
          <w:sz w:val="24"/>
          <w:szCs w:val="24"/>
        </w:rPr>
      </w:pPr>
      <w:r w:rsidRPr="00036D5A">
        <w:rPr>
          <w:sz w:val="24"/>
          <w:szCs w:val="24"/>
        </w:rPr>
        <w:t>Net zero value chain GHG emissions by 2050</w:t>
      </w:r>
      <w:r w:rsidR="00C0370F" w:rsidRPr="00036D5A">
        <w:rPr>
          <w:sz w:val="24"/>
          <w:szCs w:val="24"/>
        </w:rPr>
        <w:t>, relative to a 2021 baseline:</w:t>
      </w:r>
      <w:r w:rsidRPr="00036D5A">
        <w:rPr>
          <w:sz w:val="24"/>
          <w:szCs w:val="24"/>
        </w:rPr>
        <w:t xml:space="preserve"> </w:t>
      </w:r>
    </w:p>
    <w:p w14:paraId="0E43AD0C" w14:textId="3C8144E4" w:rsidR="00C0370F" w:rsidRPr="007257E7" w:rsidRDefault="00F8767A" w:rsidP="007257E7">
      <w:pPr>
        <w:pStyle w:val="ListParagraph"/>
        <w:widowControl w:val="0"/>
        <w:numPr>
          <w:ilvl w:val="0"/>
          <w:numId w:val="4"/>
        </w:numPr>
        <w:spacing w:before="81" w:line="240" w:lineRule="auto"/>
        <w:rPr>
          <w:sz w:val="24"/>
          <w:szCs w:val="24"/>
        </w:rPr>
      </w:pPr>
      <w:r w:rsidRPr="007257E7">
        <w:rPr>
          <w:sz w:val="24"/>
          <w:szCs w:val="24"/>
        </w:rPr>
        <w:t xml:space="preserve">90% absolute reduction in Scope 1 and 2 emissions </w:t>
      </w:r>
    </w:p>
    <w:p w14:paraId="220B430F" w14:textId="13252D80" w:rsidR="00C0370F" w:rsidRPr="007257E7" w:rsidRDefault="00F8767A" w:rsidP="007257E7">
      <w:pPr>
        <w:pStyle w:val="ListParagraph"/>
        <w:widowControl w:val="0"/>
        <w:numPr>
          <w:ilvl w:val="0"/>
          <w:numId w:val="4"/>
        </w:numPr>
        <w:spacing w:before="81" w:line="240" w:lineRule="auto"/>
        <w:rPr>
          <w:sz w:val="24"/>
          <w:szCs w:val="24"/>
        </w:rPr>
      </w:pPr>
      <w:r w:rsidRPr="007257E7">
        <w:rPr>
          <w:sz w:val="24"/>
          <w:szCs w:val="24"/>
        </w:rPr>
        <w:t>97% reduction</w:t>
      </w:r>
      <w:r w:rsidR="00B077BF" w:rsidRPr="007257E7">
        <w:rPr>
          <w:sz w:val="24"/>
          <w:szCs w:val="24"/>
        </w:rPr>
        <w:t xml:space="preserve"> </w:t>
      </w:r>
      <w:r w:rsidRPr="007257E7">
        <w:rPr>
          <w:sz w:val="24"/>
          <w:szCs w:val="24"/>
        </w:rPr>
        <w:t>in physical intensity of Scope 3 emissions (all categories</w:t>
      </w:r>
      <w:r w:rsidR="00036D5A" w:rsidRPr="007257E7">
        <w:rPr>
          <w:sz w:val="24"/>
          <w:szCs w:val="24"/>
        </w:rPr>
        <w:t>)</w:t>
      </w:r>
    </w:p>
    <w:p w14:paraId="64B952DB" w14:textId="212DB887" w:rsidR="004736A1" w:rsidRPr="007257E7" w:rsidRDefault="00F8767A" w:rsidP="007257E7">
      <w:pPr>
        <w:pStyle w:val="ListParagraph"/>
        <w:widowControl w:val="0"/>
        <w:numPr>
          <w:ilvl w:val="0"/>
          <w:numId w:val="4"/>
        </w:numPr>
        <w:spacing w:before="81" w:line="240" w:lineRule="auto"/>
        <w:rPr>
          <w:sz w:val="24"/>
          <w:szCs w:val="24"/>
        </w:rPr>
      </w:pPr>
      <w:r w:rsidRPr="007257E7">
        <w:rPr>
          <w:sz w:val="24"/>
          <w:szCs w:val="24"/>
        </w:rPr>
        <w:t>Carbon removal and storage technologies</w:t>
      </w:r>
      <w:r w:rsidR="00B077BF" w:rsidRPr="007257E7">
        <w:rPr>
          <w:sz w:val="24"/>
          <w:szCs w:val="24"/>
        </w:rPr>
        <w:t xml:space="preserve"> </w:t>
      </w:r>
      <w:r w:rsidRPr="007257E7">
        <w:rPr>
          <w:sz w:val="24"/>
          <w:szCs w:val="24"/>
        </w:rPr>
        <w:t xml:space="preserve">will be utilised to address any remaining unavoidable emissions. </w:t>
      </w:r>
    </w:p>
    <w:p w14:paraId="40AFA077" w14:textId="23D60638" w:rsidR="00C0370F" w:rsidRPr="004736A1" w:rsidRDefault="00C0370F" w:rsidP="00036D5A">
      <w:pPr>
        <w:widowControl w:val="0"/>
        <w:spacing w:before="81" w:line="240" w:lineRule="auto"/>
        <w:ind w:left="134"/>
        <w:rPr>
          <w:sz w:val="24"/>
          <w:szCs w:val="24"/>
        </w:rPr>
      </w:pPr>
      <w:r w:rsidRPr="004736A1">
        <w:rPr>
          <w:sz w:val="24"/>
          <w:szCs w:val="24"/>
        </w:rPr>
        <w:t xml:space="preserve">Near term: </w:t>
      </w:r>
    </w:p>
    <w:p w14:paraId="3E571D56" w14:textId="77777777" w:rsidR="00036D5A" w:rsidRPr="007257E7" w:rsidRDefault="00F8767A" w:rsidP="007257E7">
      <w:pPr>
        <w:pStyle w:val="ListParagraph"/>
        <w:widowControl w:val="0"/>
        <w:numPr>
          <w:ilvl w:val="0"/>
          <w:numId w:val="5"/>
        </w:numPr>
        <w:spacing w:before="81" w:line="240" w:lineRule="auto"/>
        <w:rPr>
          <w:sz w:val="24"/>
          <w:szCs w:val="24"/>
        </w:rPr>
      </w:pPr>
      <w:r w:rsidRPr="007257E7">
        <w:rPr>
          <w:sz w:val="24"/>
          <w:szCs w:val="24"/>
        </w:rPr>
        <w:t>Reduce absolute Scope 1 and 2 GHG emissions</w:t>
      </w:r>
      <w:r w:rsidR="00B077BF" w:rsidRPr="007257E7">
        <w:rPr>
          <w:sz w:val="24"/>
          <w:szCs w:val="24"/>
        </w:rPr>
        <w:t xml:space="preserve"> </w:t>
      </w:r>
      <w:r w:rsidRPr="007257E7">
        <w:rPr>
          <w:sz w:val="24"/>
          <w:szCs w:val="24"/>
        </w:rPr>
        <w:t>by 50% by 2030, compared 2021 baseline.</w:t>
      </w:r>
      <w:r w:rsidR="00B077BF" w:rsidRPr="007257E7">
        <w:rPr>
          <w:sz w:val="24"/>
          <w:szCs w:val="24"/>
        </w:rPr>
        <w:t xml:space="preserve"> </w:t>
      </w:r>
    </w:p>
    <w:p w14:paraId="2D4BCE06" w14:textId="77777777" w:rsidR="00036D5A" w:rsidRPr="007257E7" w:rsidRDefault="00F8767A" w:rsidP="007257E7">
      <w:pPr>
        <w:pStyle w:val="ListParagraph"/>
        <w:widowControl w:val="0"/>
        <w:numPr>
          <w:ilvl w:val="0"/>
          <w:numId w:val="5"/>
        </w:numPr>
        <w:spacing w:before="81" w:line="240" w:lineRule="auto"/>
        <w:rPr>
          <w:sz w:val="24"/>
          <w:szCs w:val="24"/>
        </w:rPr>
      </w:pPr>
      <w:r w:rsidRPr="007257E7">
        <w:rPr>
          <w:sz w:val="24"/>
          <w:szCs w:val="24"/>
        </w:rPr>
        <w:t>Reduce absolute Scope 3 GHG emissions from</w:t>
      </w:r>
      <w:r w:rsidR="00B077BF" w:rsidRPr="007257E7">
        <w:rPr>
          <w:sz w:val="24"/>
          <w:szCs w:val="24"/>
        </w:rPr>
        <w:t xml:space="preserve"> </w:t>
      </w:r>
      <w:r w:rsidRPr="007257E7">
        <w:rPr>
          <w:sz w:val="24"/>
          <w:szCs w:val="24"/>
        </w:rPr>
        <w:t>purchased goods and services (cat. 1), fuel</w:t>
      </w:r>
      <w:r w:rsidR="00B077BF" w:rsidRPr="007257E7">
        <w:rPr>
          <w:sz w:val="24"/>
          <w:szCs w:val="24"/>
        </w:rPr>
        <w:t xml:space="preserve"> </w:t>
      </w:r>
      <w:r w:rsidRPr="007257E7">
        <w:rPr>
          <w:sz w:val="24"/>
          <w:szCs w:val="24"/>
        </w:rPr>
        <w:t>and energy related activities (cat. 3), upstream</w:t>
      </w:r>
      <w:r w:rsidR="00B077BF" w:rsidRPr="007257E7">
        <w:rPr>
          <w:sz w:val="24"/>
          <w:szCs w:val="24"/>
        </w:rPr>
        <w:t xml:space="preserve"> </w:t>
      </w:r>
      <w:r w:rsidRPr="007257E7">
        <w:rPr>
          <w:sz w:val="24"/>
          <w:szCs w:val="24"/>
        </w:rPr>
        <w:t>transportation and distribution (cat. 4) and waste</w:t>
      </w:r>
      <w:r w:rsidR="00B077BF" w:rsidRPr="007257E7">
        <w:rPr>
          <w:sz w:val="24"/>
          <w:szCs w:val="24"/>
        </w:rPr>
        <w:t xml:space="preserve"> </w:t>
      </w:r>
      <w:r w:rsidRPr="007257E7">
        <w:rPr>
          <w:sz w:val="24"/>
          <w:szCs w:val="24"/>
        </w:rPr>
        <w:t>generated in operations (cat. 5) by 20% by 2028,</w:t>
      </w:r>
      <w:r w:rsidR="00B077BF" w:rsidRPr="007257E7">
        <w:rPr>
          <w:sz w:val="24"/>
          <w:szCs w:val="24"/>
        </w:rPr>
        <w:t xml:space="preserve"> </w:t>
      </w:r>
      <w:r w:rsidRPr="007257E7">
        <w:rPr>
          <w:sz w:val="24"/>
          <w:szCs w:val="24"/>
        </w:rPr>
        <w:t>compared to 2021 baseline.</w:t>
      </w:r>
    </w:p>
    <w:p w14:paraId="31276682" w14:textId="77777777" w:rsidR="00036D5A" w:rsidRPr="007257E7" w:rsidRDefault="00F8767A" w:rsidP="007257E7">
      <w:pPr>
        <w:pStyle w:val="ListParagraph"/>
        <w:widowControl w:val="0"/>
        <w:numPr>
          <w:ilvl w:val="0"/>
          <w:numId w:val="5"/>
        </w:numPr>
        <w:spacing w:before="81" w:line="240" w:lineRule="auto"/>
        <w:rPr>
          <w:sz w:val="24"/>
          <w:szCs w:val="24"/>
        </w:rPr>
      </w:pPr>
      <w:r w:rsidRPr="007257E7">
        <w:rPr>
          <w:sz w:val="24"/>
          <w:szCs w:val="24"/>
        </w:rPr>
        <w:t>Increase active annual sourcing of renewable</w:t>
      </w:r>
      <w:r w:rsidR="00B077BF" w:rsidRPr="007257E7">
        <w:rPr>
          <w:sz w:val="24"/>
          <w:szCs w:val="24"/>
        </w:rPr>
        <w:t xml:space="preserve"> </w:t>
      </w:r>
      <w:r w:rsidRPr="007257E7">
        <w:rPr>
          <w:sz w:val="24"/>
          <w:szCs w:val="24"/>
        </w:rPr>
        <w:t>electricity to 100% by the end of 2024 and continue</w:t>
      </w:r>
      <w:r w:rsidR="00B077BF" w:rsidRPr="007257E7">
        <w:rPr>
          <w:sz w:val="24"/>
          <w:szCs w:val="24"/>
        </w:rPr>
        <w:t xml:space="preserve"> </w:t>
      </w:r>
      <w:r w:rsidRPr="007257E7">
        <w:rPr>
          <w:sz w:val="24"/>
          <w:szCs w:val="24"/>
        </w:rPr>
        <w:t>active annual sourcing of 100% renewable electricity</w:t>
      </w:r>
      <w:r w:rsidR="00B077BF" w:rsidRPr="007257E7">
        <w:rPr>
          <w:sz w:val="24"/>
          <w:szCs w:val="24"/>
        </w:rPr>
        <w:t xml:space="preserve"> </w:t>
      </w:r>
      <w:r w:rsidRPr="007257E7">
        <w:rPr>
          <w:sz w:val="24"/>
          <w:szCs w:val="24"/>
        </w:rPr>
        <w:t>through 2030.</w:t>
      </w:r>
    </w:p>
    <w:p w14:paraId="7AF4944D" w14:textId="502B88AE" w:rsidR="00F8767A" w:rsidRPr="007257E7" w:rsidRDefault="00F8767A" w:rsidP="007257E7">
      <w:pPr>
        <w:pStyle w:val="ListParagraph"/>
        <w:widowControl w:val="0"/>
        <w:numPr>
          <w:ilvl w:val="0"/>
          <w:numId w:val="5"/>
        </w:numPr>
        <w:spacing w:before="81" w:line="240" w:lineRule="auto"/>
        <w:rPr>
          <w:sz w:val="24"/>
          <w:szCs w:val="24"/>
        </w:rPr>
      </w:pPr>
      <w:r w:rsidRPr="007257E7">
        <w:rPr>
          <w:sz w:val="24"/>
          <w:szCs w:val="24"/>
        </w:rPr>
        <w:t>Have 63% of suppliers by emissions covering</w:t>
      </w:r>
      <w:r w:rsidR="00B077BF" w:rsidRPr="007257E7">
        <w:rPr>
          <w:sz w:val="24"/>
          <w:szCs w:val="24"/>
        </w:rPr>
        <w:t xml:space="preserve"> </w:t>
      </w:r>
      <w:r w:rsidRPr="007257E7">
        <w:rPr>
          <w:sz w:val="24"/>
          <w:szCs w:val="24"/>
        </w:rPr>
        <w:t>purchased goods and services (cat. 1), capital goods</w:t>
      </w:r>
      <w:r w:rsidR="00B077BF" w:rsidRPr="007257E7">
        <w:rPr>
          <w:sz w:val="24"/>
          <w:szCs w:val="24"/>
        </w:rPr>
        <w:t xml:space="preserve"> </w:t>
      </w:r>
      <w:r w:rsidRPr="007257E7">
        <w:rPr>
          <w:sz w:val="24"/>
          <w:szCs w:val="24"/>
        </w:rPr>
        <w:t>(cat. 2), and upstream transportation and distribution</w:t>
      </w:r>
      <w:r w:rsidR="00B077BF" w:rsidRPr="007257E7">
        <w:rPr>
          <w:sz w:val="24"/>
          <w:szCs w:val="24"/>
        </w:rPr>
        <w:t xml:space="preserve"> </w:t>
      </w:r>
      <w:r w:rsidRPr="007257E7">
        <w:rPr>
          <w:sz w:val="24"/>
          <w:szCs w:val="24"/>
        </w:rPr>
        <w:t>(cat. 4) committed to the Science Based Targets</w:t>
      </w:r>
      <w:r w:rsidR="00B077BF" w:rsidRPr="007257E7">
        <w:rPr>
          <w:sz w:val="24"/>
          <w:szCs w:val="24"/>
        </w:rPr>
        <w:t xml:space="preserve"> </w:t>
      </w:r>
      <w:r w:rsidRPr="007257E7">
        <w:rPr>
          <w:sz w:val="24"/>
          <w:szCs w:val="24"/>
        </w:rPr>
        <w:t>Initiative by 2028.</w:t>
      </w:r>
    </w:p>
    <w:p w14:paraId="2D4B4501" w14:textId="77777777" w:rsidR="00036D5A" w:rsidRDefault="00036D5A" w:rsidP="00F8767A">
      <w:pPr>
        <w:widowControl w:val="0"/>
        <w:spacing w:before="3" w:line="240" w:lineRule="auto"/>
        <w:rPr>
          <w:sz w:val="24"/>
          <w:szCs w:val="24"/>
        </w:rPr>
      </w:pPr>
    </w:p>
    <w:p w14:paraId="526F9C6B" w14:textId="77777777" w:rsidR="0054284E" w:rsidRDefault="00C41517">
      <w:pPr>
        <w:pStyle w:val="Heading3"/>
        <w:keepNext w:val="0"/>
        <w:keepLines w:val="0"/>
        <w:widowControl w:val="0"/>
        <w:spacing w:before="0" w:after="0" w:line="240" w:lineRule="auto"/>
        <w:ind w:left="134"/>
        <w:rPr>
          <w:b/>
          <w:color w:val="000000"/>
        </w:rPr>
      </w:pPr>
      <w:bookmarkStart w:id="5" w:name="kix.n9ns8nq74kxv"/>
      <w:bookmarkEnd w:id="5"/>
      <w:r>
        <w:rPr>
          <w:b/>
          <w:color w:val="000000"/>
        </w:rPr>
        <w:t>Carbon reduction projects</w:t>
      </w:r>
    </w:p>
    <w:p w14:paraId="1ED092C2" w14:textId="77777777" w:rsidR="0054284E" w:rsidRDefault="00C41517">
      <w:pPr>
        <w:widowControl w:val="0"/>
        <w:spacing w:before="241" w:line="240" w:lineRule="auto"/>
        <w:ind w:left="134"/>
        <w:rPr>
          <w:b/>
          <w:sz w:val="24"/>
          <w:szCs w:val="24"/>
        </w:rPr>
      </w:pPr>
      <w:bookmarkStart w:id="6" w:name="kix.amwf8qskb2ds"/>
      <w:bookmarkEnd w:id="6"/>
      <w:r>
        <w:rPr>
          <w:b/>
          <w:sz w:val="24"/>
          <w:szCs w:val="24"/>
        </w:rPr>
        <w:t>Completed carbon reduction initiatives</w:t>
      </w:r>
    </w:p>
    <w:p w14:paraId="429AE6CE" w14:textId="797E5435" w:rsidR="0054284E" w:rsidRDefault="00C41517">
      <w:pPr>
        <w:widowControl w:val="0"/>
        <w:spacing w:before="40" w:line="240" w:lineRule="auto"/>
        <w:ind w:left="134"/>
        <w:rPr>
          <w:sz w:val="24"/>
          <w:szCs w:val="24"/>
        </w:rPr>
      </w:pPr>
      <w:r>
        <w:rPr>
          <w:sz w:val="24"/>
          <w:szCs w:val="24"/>
        </w:rPr>
        <w:t>The following environmental management measures and projects have been completed or implemented since the 20</w:t>
      </w:r>
      <w:r w:rsidR="00B077BF">
        <w:rPr>
          <w:sz w:val="24"/>
          <w:szCs w:val="24"/>
        </w:rPr>
        <w:t>21</w:t>
      </w:r>
      <w:r>
        <w:rPr>
          <w:b/>
          <w:color w:val="FF0000"/>
          <w:sz w:val="24"/>
          <w:szCs w:val="24"/>
        </w:rPr>
        <w:t xml:space="preserve"> </w:t>
      </w:r>
      <w:r>
        <w:rPr>
          <w:sz w:val="24"/>
          <w:szCs w:val="24"/>
        </w:rPr>
        <w:t xml:space="preserve">baseline. The carbon emission reduction achieved by these schemes equate to </w:t>
      </w:r>
      <w:r w:rsidR="00B077BF" w:rsidRPr="00B077BF">
        <w:rPr>
          <w:sz w:val="24"/>
          <w:szCs w:val="24"/>
        </w:rPr>
        <w:t xml:space="preserve">99,580 </w:t>
      </w:r>
      <w:r>
        <w:rPr>
          <w:sz w:val="24"/>
          <w:szCs w:val="24"/>
        </w:rPr>
        <w:t>tCO</w:t>
      </w:r>
      <w:r w:rsidRPr="007257E7">
        <w:rPr>
          <w:sz w:val="24"/>
          <w:szCs w:val="24"/>
          <w:vertAlign w:val="subscript"/>
        </w:rPr>
        <w:t>2</w:t>
      </w:r>
      <w:r>
        <w:rPr>
          <w:sz w:val="24"/>
          <w:szCs w:val="24"/>
        </w:rPr>
        <w:t>e</w:t>
      </w:r>
      <w:r w:rsidR="007257E7">
        <w:rPr>
          <w:sz w:val="24"/>
          <w:szCs w:val="24"/>
        </w:rPr>
        <w:t xml:space="preserve"> by 2024</w:t>
      </w:r>
      <w:r>
        <w:rPr>
          <w:sz w:val="24"/>
          <w:szCs w:val="24"/>
        </w:rPr>
        <w:t xml:space="preserve">, a </w:t>
      </w:r>
      <w:r w:rsidR="00B077BF" w:rsidRPr="00B077BF">
        <w:rPr>
          <w:sz w:val="24"/>
          <w:szCs w:val="24"/>
        </w:rPr>
        <w:t>15.4</w:t>
      </w:r>
      <w:r>
        <w:rPr>
          <w:sz w:val="24"/>
          <w:szCs w:val="24"/>
        </w:rPr>
        <w:t>% reduction against the 20</w:t>
      </w:r>
      <w:r w:rsidR="00B077BF">
        <w:rPr>
          <w:sz w:val="24"/>
          <w:szCs w:val="24"/>
        </w:rPr>
        <w:t>21</w:t>
      </w:r>
      <w:r>
        <w:rPr>
          <w:b/>
          <w:color w:val="FF0000"/>
          <w:sz w:val="24"/>
          <w:szCs w:val="24"/>
        </w:rPr>
        <w:t xml:space="preserve"> </w:t>
      </w:r>
      <w:r>
        <w:rPr>
          <w:sz w:val="24"/>
          <w:szCs w:val="24"/>
        </w:rPr>
        <w:t>baseline and the measures will be in effect when performing the contract.</w:t>
      </w:r>
    </w:p>
    <w:p w14:paraId="4EAB9D96" w14:textId="77777777" w:rsidR="00B077BF" w:rsidRDefault="00B077BF">
      <w:pPr>
        <w:widowControl w:val="0"/>
        <w:spacing w:before="40" w:line="240" w:lineRule="auto"/>
        <w:ind w:left="134"/>
        <w:rPr>
          <w:sz w:val="24"/>
          <w:szCs w:val="24"/>
        </w:rPr>
      </w:pPr>
    </w:p>
    <w:p w14:paraId="7FC75CC9" w14:textId="4A5A7E50" w:rsidR="00627A8A" w:rsidRDefault="00627A8A">
      <w:pPr>
        <w:widowControl w:val="0"/>
        <w:spacing w:before="40" w:line="240" w:lineRule="auto"/>
        <w:ind w:left="134"/>
        <w:rPr>
          <w:sz w:val="24"/>
          <w:szCs w:val="24"/>
        </w:rPr>
      </w:pPr>
      <w:r>
        <w:rPr>
          <w:noProof/>
          <w:sz w:val="24"/>
          <w:szCs w:val="24"/>
        </w:rPr>
        <w:drawing>
          <wp:inline distT="0" distB="0" distL="0" distR="0" wp14:anchorId="0CAC92A4" wp14:editId="5FF4799D">
            <wp:extent cx="4981575" cy="2638425"/>
            <wp:effectExtent l="0" t="0" r="9525" b="9525"/>
            <wp:docPr id="3942015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2F19AA" w14:textId="77777777" w:rsidR="00627A8A" w:rsidRDefault="00627A8A">
      <w:pPr>
        <w:widowControl w:val="0"/>
        <w:spacing w:before="40" w:line="240" w:lineRule="auto"/>
        <w:ind w:left="134"/>
        <w:rPr>
          <w:sz w:val="24"/>
          <w:szCs w:val="24"/>
        </w:rPr>
      </w:pPr>
    </w:p>
    <w:p w14:paraId="2870DC90" w14:textId="77777777" w:rsidR="00F47648" w:rsidRPr="00F47648" w:rsidRDefault="00F47648" w:rsidP="00F47648">
      <w:pPr>
        <w:widowControl w:val="0"/>
        <w:spacing w:before="40" w:line="240" w:lineRule="auto"/>
        <w:ind w:left="134"/>
        <w:rPr>
          <w:sz w:val="24"/>
          <w:szCs w:val="24"/>
        </w:rPr>
      </w:pPr>
      <w:r w:rsidRPr="00F47648">
        <w:rPr>
          <w:sz w:val="24"/>
          <w:szCs w:val="24"/>
        </w:rPr>
        <w:t>Scope 1 (Direct Emissions)</w:t>
      </w:r>
    </w:p>
    <w:p w14:paraId="0CCA445A" w14:textId="24D75E01" w:rsidR="00F47648" w:rsidRPr="00F47648" w:rsidRDefault="00F47648" w:rsidP="00F47648">
      <w:pPr>
        <w:widowControl w:val="0"/>
        <w:spacing w:before="40" w:line="240" w:lineRule="auto"/>
        <w:ind w:left="134"/>
        <w:rPr>
          <w:sz w:val="24"/>
          <w:szCs w:val="24"/>
        </w:rPr>
      </w:pPr>
      <w:r w:rsidRPr="00F47648">
        <w:rPr>
          <w:sz w:val="24"/>
          <w:szCs w:val="24"/>
        </w:rPr>
        <w:t>Energy Efficiency Improvements: Conducted energy audits and replaced outdated equipment with energy-efficient alternatives, such as heating systems and industrial machinery.</w:t>
      </w:r>
    </w:p>
    <w:p w14:paraId="46ACE179" w14:textId="74AFF704" w:rsidR="00F47648" w:rsidRPr="00F47648" w:rsidRDefault="00F47648" w:rsidP="00F47648">
      <w:pPr>
        <w:widowControl w:val="0"/>
        <w:spacing w:before="40" w:line="240" w:lineRule="auto"/>
        <w:ind w:left="134"/>
        <w:rPr>
          <w:sz w:val="24"/>
          <w:szCs w:val="24"/>
        </w:rPr>
      </w:pPr>
      <w:r w:rsidRPr="00F47648">
        <w:rPr>
          <w:sz w:val="24"/>
          <w:szCs w:val="24"/>
        </w:rPr>
        <w:lastRenderedPageBreak/>
        <w:t>Waste Heat Recovery: Successfully implemented a waste heat recovery system at the Finland production site, with plans to replicate this at other sites.</w:t>
      </w:r>
    </w:p>
    <w:p w14:paraId="7152C24F" w14:textId="648DAA16" w:rsidR="00F47648" w:rsidRPr="00F47648" w:rsidRDefault="00F47648" w:rsidP="00F47648">
      <w:pPr>
        <w:widowControl w:val="0"/>
        <w:spacing w:before="40" w:line="240" w:lineRule="auto"/>
        <w:ind w:left="134"/>
        <w:rPr>
          <w:sz w:val="24"/>
          <w:szCs w:val="24"/>
        </w:rPr>
      </w:pPr>
      <w:r w:rsidRPr="00F47648">
        <w:rPr>
          <w:sz w:val="24"/>
          <w:szCs w:val="24"/>
        </w:rPr>
        <w:t>Low-Emission Vehicles: Transitioned the company car fleet to low- or zero-emission vehicles, with progress varying by region.</w:t>
      </w:r>
    </w:p>
    <w:p w14:paraId="692D4E83" w14:textId="77777777" w:rsidR="00F47648" w:rsidRPr="00F47648" w:rsidRDefault="00F47648" w:rsidP="00F47648">
      <w:pPr>
        <w:widowControl w:val="0"/>
        <w:spacing w:before="40" w:line="240" w:lineRule="auto"/>
        <w:ind w:left="134"/>
        <w:rPr>
          <w:sz w:val="24"/>
          <w:szCs w:val="24"/>
        </w:rPr>
      </w:pPr>
    </w:p>
    <w:p w14:paraId="0EF54B5C" w14:textId="77777777" w:rsidR="00F47648" w:rsidRPr="00F47648" w:rsidRDefault="00F47648" w:rsidP="00F47648">
      <w:pPr>
        <w:widowControl w:val="0"/>
        <w:spacing w:before="40" w:line="240" w:lineRule="auto"/>
        <w:ind w:left="134"/>
        <w:rPr>
          <w:sz w:val="24"/>
          <w:szCs w:val="24"/>
        </w:rPr>
      </w:pPr>
      <w:r w:rsidRPr="00F47648">
        <w:rPr>
          <w:sz w:val="24"/>
          <w:szCs w:val="24"/>
        </w:rPr>
        <w:t>Scope 2 (Indirect Emissions)</w:t>
      </w:r>
    </w:p>
    <w:p w14:paraId="7358C93B" w14:textId="4C217041" w:rsidR="00F47648" w:rsidRPr="00F47648" w:rsidRDefault="00F47648" w:rsidP="00F47648">
      <w:pPr>
        <w:widowControl w:val="0"/>
        <w:spacing w:before="40" w:line="240" w:lineRule="auto"/>
        <w:ind w:left="134"/>
        <w:rPr>
          <w:sz w:val="24"/>
          <w:szCs w:val="24"/>
        </w:rPr>
      </w:pPr>
      <w:r w:rsidRPr="00F47648">
        <w:rPr>
          <w:sz w:val="24"/>
          <w:szCs w:val="24"/>
        </w:rPr>
        <w:t xml:space="preserve">100% Renewable Electricity: Transitioned all production sites </w:t>
      </w:r>
      <w:r w:rsidR="00F56E9D">
        <w:rPr>
          <w:sz w:val="24"/>
          <w:szCs w:val="24"/>
        </w:rPr>
        <w:t>and JV as well as</w:t>
      </w:r>
      <w:r w:rsidR="00F56E9D" w:rsidRPr="00F47648">
        <w:rPr>
          <w:sz w:val="24"/>
          <w:szCs w:val="24"/>
        </w:rPr>
        <w:t xml:space="preserve"> </w:t>
      </w:r>
      <w:r w:rsidRPr="00F47648">
        <w:rPr>
          <w:sz w:val="24"/>
          <w:szCs w:val="24"/>
        </w:rPr>
        <w:t xml:space="preserve">headquarters to 100% renewable electricity by the end of 2024, achieved through onsite </w:t>
      </w:r>
      <w:r w:rsidR="00F56E9D">
        <w:rPr>
          <w:sz w:val="24"/>
          <w:szCs w:val="24"/>
        </w:rPr>
        <w:t xml:space="preserve">solar power </w:t>
      </w:r>
      <w:r w:rsidRPr="00F47648">
        <w:rPr>
          <w:sz w:val="24"/>
          <w:szCs w:val="24"/>
        </w:rPr>
        <w:t>installations, power purchase agreements (</w:t>
      </w:r>
      <w:proofErr w:type="spellStart"/>
      <w:r w:rsidR="00513FB9">
        <w:rPr>
          <w:sz w:val="24"/>
          <w:szCs w:val="24"/>
        </w:rPr>
        <w:t>v</w:t>
      </w:r>
      <w:r w:rsidRPr="00F47648">
        <w:rPr>
          <w:sz w:val="24"/>
          <w:szCs w:val="24"/>
        </w:rPr>
        <w:t>PPAs</w:t>
      </w:r>
      <w:proofErr w:type="spellEnd"/>
      <w:r w:rsidRPr="00F47648">
        <w:rPr>
          <w:sz w:val="24"/>
          <w:szCs w:val="24"/>
        </w:rPr>
        <w:t>), and renewable energy certificates (EACs).</w:t>
      </w:r>
    </w:p>
    <w:p w14:paraId="302CE135" w14:textId="53FB6FCF" w:rsidR="00F47648" w:rsidRPr="00F47648" w:rsidRDefault="00F47648" w:rsidP="00F47648">
      <w:pPr>
        <w:widowControl w:val="0"/>
        <w:spacing w:before="40" w:line="240" w:lineRule="auto"/>
        <w:ind w:left="134"/>
        <w:rPr>
          <w:sz w:val="24"/>
          <w:szCs w:val="24"/>
        </w:rPr>
      </w:pPr>
      <w:r w:rsidRPr="00F47648">
        <w:rPr>
          <w:sz w:val="24"/>
          <w:szCs w:val="24"/>
        </w:rPr>
        <w:t xml:space="preserve">Energy Efficiency: Upgraded equipment and optimized </w:t>
      </w:r>
      <w:r w:rsidR="00513FB9">
        <w:rPr>
          <w:sz w:val="24"/>
          <w:szCs w:val="24"/>
        </w:rPr>
        <w:t>electricity</w:t>
      </w:r>
      <w:r w:rsidR="00513FB9" w:rsidRPr="00F47648">
        <w:rPr>
          <w:sz w:val="24"/>
          <w:szCs w:val="24"/>
        </w:rPr>
        <w:t xml:space="preserve"> </w:t>
      </w:r>
      <w:r w:rsidRPr="00F47648">
        <w:rPr>
          <w:sz w:val="24"/>
          <w:szCs w:val="24"/>
        </w:rPr>
        <w:t xml:space="preserve">use in buildings to reduce </w:t>
      </w:r>
      <w:r w:rsidR="00513FB9">
        <w:rPr>
          <w:sz w:val="24"/>
          <w:szCs w:val="24"/>
        </w:rPr>
        <w:t>its</w:t>
      </w:r>
      <w:r w:rsidR="00513FB9" w:rsidRPr="00F47648">
        <w:rPr>
          <w:sz w:val="24"/>
          <w:szCs w:val="24"/>
        </w:rPr>
        <w:t xml:space="preserve"> </w:t>
      </w:r>
      <w:r w:rsidRPr="00F47648">
        <w:rPr>
          <w:sz w:val="24"/>
          <w:szCs w:val="24"/>
        </w:rPr>
        <w:t>consumption.</w:t>
      </w:r>
    </w:p>
    <w:p w14:paraId="44C882FF" w14:textId="785931A1" w:rsidR="00F47648" w:rsidRPr="00F47648" w:rsidRDefault="00F47648" w:rsidP="00F47648">
      <w:pPr>
        <w:widowControl w:val="0"/>
        <w:spacing w:before="40" w:line="240" w:lineRule="auto"/>
        <w:ind w:left="134"/>
        <w:rPr>
          <w:sz w:val="24"/>
          <w:szCs w:val="24"/>
        </w:rPr>
      </w:pPr>
      <w:r w:rsidRPr="00F47648">
        <w:rPr>
          <w:sz w:val="24"/>
          <w:szCs w:val="24"/>
        </w:rPr>
        <w:t xml:space="preserve">Factory Relocation: Closed the </w:t>
      </w:r>
      <w:proofErr w:type="spellStart"/>
      <w:r w:rsidRPr="00F47648">
        <w:rPr>
          <w:sz w:val="24"/>
          <w:szCs w:val="24"/>
        </w:rPr>
        <w:t>Batang</w:t>
      </w:r>
      <w:proofErr w:type="spellEnd"/>
      <w:r w:rsidRPr="00F47648">
        <w:rPr>
          <w:sz w:val="24"/>
          <w:szCs w:val="24"/>
        </w:rPr>
        <w:t xml:space="preserve"> Kali factory and relocated production to more energy-efficient sites.</w:t>
      </w:r>
    </w:p>
    <w:p w14:paraId="5EA1679A" w14:textId="77777777" w:rsidR="00F47648" w:rsidRPr="00F47648" w:rsidRDefault="00F47648" w:rsidP="00F47648">
      <w:pPr>
        <w:widowControl w:val="0"/>
        <w:spacing w:before="40" w:line="240" w:lineRule="auto"/>
        <w:ind w:left="134"/>
        <w:rPr>
          <w:sz w:val="24"/>
          <w:szCs w:val="24"/>
        </w:rPr>
      </w:pPr>
    </w:p>
    <w:p w14:paraId="5B565B2F" w14:textId="77777777" w:rsidR="00F47648" w:rsidRPr="00F47648" w:rsidRDefault="00F47648" w:rsidP="00F47648">
      <w:pPr>
        <w:widowControl w:val="0"/>
        <w:spacing w:before="40" w:line="240" w:lineRule="auto"/>
        <w:ind w:left="134"/>
        <w:rPr>
          <w:sz w:val="24"/>
          <w:szCs w:val="24"/>
        </w:rPr>
      </w:pPr>
      <w:r w:rsidRPr="00F47648">
        <w:rPr>
          <w:sz w:val="24"/>
          <w:szCs w:val="24"/>
        </w:rPr>
        <w:t>Scope 3 (Value Chain Emissions)</w:t>
      </w:r>
    </w:p>
    <w:p w14:paraId="1AF4FF28" w14:textId="1347597E" w:rsidR="00F47648" w:rsidRPr="00F47648" w:rsidRDefault="00F47648" w:rsidP="00F47648">
      <w:pPr>
        <w:widowControl w:val="0"/>
        <w:spacing w:before="40" w:line="240" w:lineRule="auto"/>
        <w:ind w:left="134"/>
        <w:rPr>
          <w:sz w:val="24"/>
          <w:szCs w:val="24"/>
        </w:rPr>
      </w:pPr>
      <w:r w:rsidRPr="00F47648">
        <w:rPr>
          <w:sz w:val="24"/>
          <w:szCs w:val="24"/>
        </w:rPr>
        <w:t>Supplier Engagement: Engaged suppliers to align with Net Zero goals, with 38% of suppliers adopting science-based targets by the end of 2024 and a target of 63% by 2028.</w:t>
      </w:r>
    </w:p>
    <w:p w14:paraId="43ED5648" w14:textId="0D5C1077" w:rsidR="00F47648" w:rsidRPr="00F47648" w:rsidRDefault="00F47648" w:rsidP="00F47648">
      <w:pPr>
        <w:widowControl w:val="0"/>
        <w:spacing w:before="40" w:line="240" w:lineRule="auto"/>
        <w:ind w:left="134"/>
        <w:rPr>
          <w:sz w:val="24"/>
          <w:szCs w:val="24"/>
        </w:rPr>
      </w:pPr>
      <w:r w:rsidRPr="00F47648">
        <w:rPr>
          <w:sz w:val="24"/>
          <w:szCs w:val="24"/>
        </w:rPr>
        <w:t>Sustainable Product Design: Focused on material substitutions, down-gauging products, and optimizing packaging to reduce emissions.</w:t>
      </w:r>
    </w:p>
    <w:p w14:paraId="0313DD34" w14:textId="7E469755" w:rsidR="00F47648" w:rsidRPr="00F47648" w:rsidRDefault="00F47648" w:rsidP="00F47648">
      <w:pPr>
        <w:widowControl w:val="0"/>
        <w:spacing w:before="40" w:line="240" w:lineRule="auto"/>
        <w:ind w:left="134"/>
        <w:rPr>
          <w:sz w:val="24"/>
          <w:szCs w:val="24"/>
        </w:rPr>
      </w:pPr>
      <w:r w:rsidRPr="00F47648">
        <w:rPr>
          <w:sz w:val="24"/>
          <w:szCs w:val="24"/>
        </w:rPr>
        <w:t>Low-Carbon Transportation: Implemented biofuel and intermodal solutions, optimized logistics flows, and minimized the use of temperature-controlled containers.</w:t>
      </w:r>
    </w:p>
    <w:p w14:paraId="2C19CD96" w14:textId="6AC759C5" w:rsidR="00F47648" w:rsidRPr="00F47648" w:rsidRDefault="00F47648" w:rsidP="00F47648">
      <w:pPr>
        <w:widowControl w:val="0"/>
        <w:spacing w:before="40" w:line="240" w:lineRule="auto"/>
        <w:ind w:left="134"/>
        <w:rPr>
          <w:sz w:val="24"/>
          <w:szCs w:val="24"/>
        </w:rPr>
      </w:pPr>
      <w:r w:rsidRPr="00F47648">
        <w:rPr>
          <w:sz w:val="24"/>
          <w:szCs w:val="24"/>
        </w:rPr>
        <w:t>Renewable Energy in Supply Chain: Transitioned to renewable energy for fuel- and energy-related activities.</w:t>
      </w:r>
    </w:p>
    <w:p w14:paraId="516CD000" w14:textId="521B0AF4" w:rsidR="00F47648" w:rsidRDefault="39C1366A" w:rsidP="00F47648">
      <w:pPr>
        <w:widowControl w:val="0"/>
        <w:spacing w:before="40" w:line="240" w:lineRule="auto"/>
        <w:ind w:left="134"/>
        <w:rPr>
          <w:sz w:val="24"/>
          <w:szCs w:val="24"/>
        </w:rPr>
      </w:pPr>
      <w:r w:rsidRPr="50C38E2A">
        <w:rPr>
          <w:sz w:val="24"/>
          <w:szCs w:val="24"/>
        </w:rPr>
        <w:t>Waste Management: Drove continuous improvements in packaging and waste management by designing out waste and eliminating landfill disposal.</w:t>
      </w:r>
    </w:p>
    <w:p w14:paraId="4147D1DD" w14:textId="77777777" w:rsidR="00BB100D" w:rsidRPr="00F47648" w:rsidRDefault="00BB100D" w:rsidP="00F47648">
      <w:pPr>
        <w:widowControl w:val="0"/>
        <w:spacing w:before="40" w:line="240" w:lineRule="auto"/>
        <w:ind w:left="134"/>
        <w:rPr>
          <w:sz w:val="24"/>
          <w:szCs w:val="24"/>
        </w:rPr>
      </w:pPr>
    </w:p>
    <w:p w14:paraId="5438E79B" w14:textId="375B99E4" w:rsidR="00F47648" w:rsidRDefault="00F47648" w:rsidP="00F47648">
      <w:pPr>
        <w:widowControl w:val="0"/>
        <w:spacing w:before="40" w:line="240" w:lineRule="auto"/>
        <w:ind w:left="134"/>
        <w:rPr>
          <w:sz w:val="24"/>
          <w:szCs w:val="24"/>
        </w:rPr>
      </w:pPr>
      <w:r w:rsidRPr="00F47648">
        <w:rPr>
          <w:sz w:val="24"/>
          <w:szCs w:val="24"/>
        </w:rPr>
        <w:t>Company-Wide Initiatives</w:t>
      </w:r>
    </w:p>
    <w:p w14:paraId="1EEC64FE" w14:textId="15E94220" w:rsidR="00996273" w:rsidRDefault="00996273" w:rsidP="00F47648">
      <w:pPr>
        <w:widowControl w:val="0"/>
        <w:spacing w:before="40" w:line="240" w:lineRule="auto"/>
        <w:ind w:left="134"/>
        <w:rPr>
          <w:sz w:val="24"/>
          <w:szCs w:val="24"/>
        </w:rPr>
      </w:pPr>
      <w:r>
        <w:rPr>
          <w:sz w:val="24"/>
          <w:szCs w:val="24"/>
        </w:rPr>
        <w:t>Management systems: A certified ISO14001 management system is in place at all manufacturing sites and our headquarters.</w:t>
      </w:r>
    </w:p>
    <w:p w14:paraId="3301D6A6" w14:textId="6259EB7E" w:rsidR="00996273" w:rsidRPr="00996273" w:rsidRDefault="00996273" w:rsidP="00F47648">
      <w:pPr>
        <w:widowControl w:val="0"/>
        <w:spacing w:before="40" w:line="240" w:lineRule="auto"/>
        <w:ind w:left="134"/>
        <w:rPr>
          <w:sz w:val="24"/>
          <w:szCs w:val="24"/>
        </w:rPr>
      </w:pPr>
      <w:r>
        <w:rPr>
          <w:sz w:val="24"/>
          <w:szCs w:val="24"/>
        </w:rPr>
        <w:t>SBTi: The Science Based Targets Initiative have validated two carbon inventories, and our near-term and Net Zero targets.</w:t>
      </w:r>
    </w:p>
    <w:p w14:paraId="261A09A4" w14:textId="16A2B7C8" w:rsidR="00F47648" w:rsidRPr="00F47648" w:rsidRDefault="00F47648" w:rsidP="00F47648">
      <w:pPr>
        <w:widowControl w:val="0"/>
        <w:spacing w:before="40" w:line="240" w:lineRule="auto"/>
        <w:ind w:left="134"/>
        <w:rPr>
          <w:sz w:val="24"/>
          <w:szCs w:val="24"/>
        </w:rPr>
      </w:pPr>
      <w:r w:rsidRPr="00F47648">
        <w:rPr>
          <w:sz w:val="24"/>
          <w:szCs w:val="24"/>
        </w:rPr>
        <w:t>Carbon Pricing: Integrated carbon pricing into investment decisions to ensure alignment with decarbonization strategies.</w:t>
      </w:r>
    </w:p>
    <w:p w14:paraId="4FF0945F" w14:textId="318FF212" w:rsidR="00F47648" w:rsidRPr="00F47648" w:rsidRDefault="00F47648" w:rsidP="00F47648">
      <w:pPr>
        <w:widowControl w:val="0"/>
        <w:spacing w:before="40" w:line="240" w:lineRule="auto"/>
        <w:ind w:left="134"/>
        <w:rPr>
          <w:sz w:val="24"/>
          <w:szCs w:val="24"/>
        </w:rPr>
      </w:pPr>
      <w:r w:rsidRPr="00F47648">
        <w:rPr>
          <w:sz w:val="24"/>
          <w:szCs w:val="24"/>
        </w:rPr>
        <w:t>Employee Training: Rolled out Net Zero training for all buyers and R&amp;D employees to embed sustainability into daily operations.</w:t>
      </w:r>
    </w:p>
    <w:p w14:paraId="26E203BC" w14:textId="60A03743" w:rsidR="00B077BF" w:rsidRDefault="00F47648" w:rsidP="00F47648">
      <w:pPr>
        <w:widowControl w:val="0"/>
        <w:spacing w:before="40" w:line="240" w:lineRule="auto"/>
        <w:ind w:left="134"/>
        <w:rPr>
          <w:sz w:val="24"/>
          <w:szCs w:val="24"/>
        </w:rPr>
      </w:pPr>
      <w:r w:rsidRPr="00F47648">
        <w:rPr>
          <w:sz w:val="24"/>
          <w:szCs w:val="24"/>
        </w:rPr>
        <w:t>Supplier Training: Conducted webinars for suppliers to align on data collection and emission reduction strategies.</w:t>
      </w:r>
    </w:p>
    <w:p w14:paraId="0CBFD4C2" w14:textId="77777777" w:rsidR="00F47648" w:rsidRPr="00F47648" w:rsidRDefault="00F47648" w:rsidP="00F47648">
      <w:pPr>
        <w:widowControl w:val="0"/>
        <w:spacing w:before="40" w:line="240" w:lineRule="auto"/>
        <w:ind w:left="134"/>
        <w:rPr>
          <w:sz w:val="24"/>
          <w:szCs w:val="24"/>
        </w:rPr>
      </w:pPr>
      <w:r w:rsidRPr="00F47648">
        <w:rPr>
          <w:sz w:val="24"/>
          <w:szCs w:val="24"/>
        </w:rPr>
        <w:t>Executive remuneration: A key element of the Long-Term Incentive plan is the inclusion</w:t>
      </w:r>
    </w:p>
    <w:p w14:paraId="47B5FA25" w14:textId="31F1179D" w:rsidR="00B077BF" w:rsidRPr="00F47648" w:rsidRDefault="00F47648" w:rsidP="00F47648">
      <w:pPr>
        <w:widowControl w:val="0"/>
        <w:spacing w:before="40" w:line="240" w:lineRule="auto"/>
        <w:ind w:left="134"/>
      </w:pPr>
      <w:r w:rsidRPr="00F47648">
        <w:rPr>
          <w:sz w:val="24"/>
          <w:szCs w:val="24"/>
        </w:rPr>
        <w:t>of Scope 3 absolute GHG emission reductions</w:t>
      </w:r>
      <w:r>
        <w:rPr>
          <w:sz w:val="24"/>
          <w:szCs w:val="24"/>
        </w:rPr>
        <w:t xml:space="preserve">, inspiring accountability for decarbonisation across all senior executives. </w:t>
      </w:r>
    </w:p>
    <w:p w14:paraId="39D9201B" w14:textId="77777777" w:rsidR="0054284E" w:rsidRPr="00F47648" w:rsidRDefault="00C41517">
      <w:pPr>
        <w:widowControl w:val="0"/>
        <w:spacing w:before="240" w:line="240" w:lineRule="auto"/>
        <w:ind w:left="134"/>
        <w:rPr>
          <w:b/>
          <w:sz w:val="24"/>
          <w:szCs w:val="24"/>
        </w:rPr>
      </w:pPr>
      <w:bookmarkStart w:id="7" w:name="kix.9b29bz4sy91d"/>
      <w:bookmarkEnd w:id="7"/>
      <w:r w:rsidRPr="00F47648">
        <w:rPr>
          <w:b/>
          <w:sz w:val="24"/>
          <w:szCs w:val="24"/>
        </w:rPr>
        <w:t>Future carbon reduction initiatives</w:t>
      </w:r>
    </w:p>
    <w:p w14:paraId="59B17935" w14:textId="1CD966D5" w:rsidR="0054284E" w:rsidRDefault="00C41517">
      <w:pPr>
        <w:widowControl w:val="0"/>
        <w:spacing w:before="40" w:line="446" w:lineRule="auto"/>
        <w:ind w:left="134" w:right="3188"/>
        <w:rPr>
          <w:sz w:val="24"/>
          <w:szCs w:val="24"/>
        </w:rPr>
      </w:pPr>
      <w:r>
        <w:rPr>
          <w:sz w:val="24"/>
          <w:szCs w:val="24"/>
        </w:rPr>
        <w:t xml:space="preserve">In the future we hope to implement further measures such as: </w:t>
      </w:r>
    </w:p>
    <w:p w14:paraId="4C852C4E" w14:textId="77777777" w:rsidR="00996273" w:rsidRPr="00996273" w:rsidRDefault="00996273" w:rsidP="00996273">
      <w:pPr>
        <w:widowControl w:val="0"/>
        <w:spacing w:before="40" w:line="240" w:lineRule="auto"/>
        <w:ind w:left="134"/>
        <w:rPr>
          <w:sz w:val="24"/>
          <w:szCs w:val="24"/>
        </w:rPr>
      </w:pPr>
      <w:r w:rsidRPr="00996273">
        <w:rPr>
          <w:sz w:val="24"/>
          <w:szCs w:val="24"/>
        </w:rPr>
        <w:t>Scope 1 (Direct Emissions)</w:t>
      </w:r>
    </w:p>
    <w:p w14:paraId="2C01849A" w14:textId="636090BA" w:rsidR="00996273" w:rsidRPr="00996273" w:rsidRDefault="00996273" w:rsidP="00996273">
      <w:pPr>
        <w:widowControl w:val="0"/>
        <w:spacing w:before="40" w:line="240" w:lineRule="auto"/>
        <w:ind w:left="134"/>
        <w:rPr>
          <w:sz w:val="24"/>
          <w:szCs w:val="24"/>
        </w:rPr>
      </w:pPr>
      <w:r w:rsidRPr="00996273">
        <w:rPr>
          <w:sz w:val="24"/>
          <w:szCs w:val="24"/>
        </w:rPr>
        <w:t>Expansion of Waste Heat Recovery: Following the success of</w:t>
      </w:r>
      <w:r>
        <w:rPr>
          <w:sz w:val="24"/>
          <w:szCs w:val="24"/>
        </w:rPr>
        <w:t xml:space="preserve"> </w:t>
      </w:r>
      <w:r w:rsidRPr="00996273">
        <w:rPr>
          <w:sz w:val="24"/>
          <w:szCs w:val="24"/>
        </w:rPr>
        <w:t>the waste heat recovery system in Finland, Mölnlycke plans to implement similar systems at other production sites where feasibl</w:t>
      </w:r>
      <w:r>
        <w:rPr>
          <w:sz w:val="24"/>
          <w:szCs w:val="24"/>
        </w:rPr>
        <w:t>e</w:t>
      </w:r>
      <w:r w:rsidRPr="00996273">
        <w:rPr>
          <w:sz w:val="24"/>
          <w:szCs w:val="24"/>
        </w:rPr>
        <w:t>.</w:t>
      </w:r>
    </w:p>
    <w:p w14:paraId="5148E0BC" w14:textId="36707535" w:rsidR="00996273" w:rsidRPr="00996273" w:rsidRDefault="00996273" w:rsidP="00996273">
      <w:pPr>
        <w:widowControl w:val="0"/>
        <w:spacing w:before="40" w:line="240" w:lineRule="auto"/>
        <w:ind w:left="134"/>
        <w:rPr>
          <w:sz w:val="24"/>
          <w:szCs w:val="24"/>
        </w:rPr>
      </w:pPr>
      <w:r w:rsidRPr="00996273">
        <w:rPr>
          <w:sz w:val="24"/>
          <w:szCs w:val="24"/>
        </w:rPr>
        <w:t xml:space="preserve">Transition to Low-Emission Technologies: Continued replacement or retrofitting of outdated </w:t>
      </w:r>
      <w:r w:rsidRPr="00996273">
        <w:rPr>
          <w:sz w:val="24"/>
          <w:szCs w:val="24"/>
        </w:rPr>
        <w:lastRenderedPageBreak/>
        <w:t>equipment with energy-efficient and low-emission alternatives, including heating systems and industrial machinery.</w:t>
      </w:r>
    </w:p>
    <w:p w14:paraId="73E26F80" w14:textId="01C7C60D" w:rsidR="00996273" w:rsidRPr="00996273" w:rsidRDefault="00996273" w:rsidP="00996273">
      <w:pPr>
        <w:widowControl w:val="0"/>
        <w:spacing w:before="40" w:line="240" w:lineRule="auto"/>
        <w:ind w:left="134"/>
        <w:rPr>
          <w:sz w:val="24"/>
          <w:szCs w:val="24"/>
        </w:rPr>
      </w:pPr>
      <w:r w:rsidRPr="00996273">
        <w:rPr>
          <w:sz w:val="24"/>
          <w:szCs w:val="24"/>
        </w:rPr>
        <w:t>Fleet Transition: Gradual transition of the company car fleet to low- or zero-emission vehicles, depending on regional availability of electric vehicles.</w:t>
      </w:r>
    </w:p>
    <w:p w14:paraId="098B33A4" w14:textId="77777777" w:rsidR="00996273" w:rsidRDefault="00996273" w:rsidP="00996273">
      <w:pPr>
        <w:widowControl w:val="0"/>
        <w:spacing w:before="40" w:line="240" w:lineRule="auto"/>
        <w:ind w:left="134"/>
        <w:rPr>
          <w:sz w:val="24"/>
          <w:szCs w:val="24"/>
        </w:rPr>
      </w:pPr>
    </w:p>
    <w:p w14:paraId="50DC6E38" w14:textId="27873865" w:rsidR="00996273" w:rsidRPr="00996273" w:rsidRDefault="00996273" w:rsidP="00996273">
      <w:pPr>
        <w:widowControl w:val="0"/>
        <w:spacing w:before="40" w:line="240" w:lineRule="auto"/>
        <w:ind w:left="134"/>
        <w:rPr>
          <w:sz w:val="24"/>
          <w:szCs w:val="24"/>
        </w:rPr>
      </w:pPr>
      <w:r w:rsidRPr="00996273">
        <w:rPr>
          <w:sz w:val="24"/>
          <w:szCs w:val="24"/>
        </w:rPr>
        <w:t>Scope 2 (Indirect Emissions)</w:t>
      </w:r>
    </w:p>
    <w:p w14:paraId="337D49C3" w14:textId="76EA5581" w:rsidR="00996273" w:rsidRPr="00996273" w:rsidRDefault="00996273" w:rsidP="00996273">
      <w:pPr>
        <w:widowControl w:val="0"/>
        <w:spacing w:before="40" w:line="240" w:lineRule="auto"/>
        <w:ind w:left="134"/>
        <w:rPr>
          <w:sz w:val="24"/>
          <w:szCs w:val="24"/>
        </w:rPr>
      </w:pPr>
      <w:r w:rsidRPr="00996273">
        <w:rPr>
          <w:sz w:val="24"/>
          <w:szCs w:val="24"/>
        </w:rPr>
        <w:t>Renewable Electricity Commitment: Mölnlycke aims to maintain 100% renewable electricity sourcing for all operating sites and headquarters through 2030 and beyond, including new geographical expansions.</w:t>
      </w:r>
    </w:p>
    <w:p w14:paraId="68839B80" w14:textId="6506B066" w:rsidR="00996273" w:rsidRPr="00996273" w:rsidRDefault="00996273" w:rsidP="00996273">
      <w:pPr>
        <w:widowControl w:val="0"/>
        <w:spacing w:before="40" w:line="240" w:lineRule="auto"/>
        <w:ind w:left="134"/>
        <w:rPr>
          <w:sz w:val="24"/>
          <w:szCs w:val="24"/>
        </w:rPr>
      </w:pPr>
      <w:r w:rsidRPr="00996273">
        <w:rPr>
          <w:sz w:val="24"/>
          <w:szCs w:val="24"/>
        </w:rPr>
        <w:t>Energy Efficiency Improvements: Ongoing upgrades to energy-efficient equipment and optimization of energy use in buildings to reduce overall energy consumption.</w:t>
      </w:r>
    </w:p>
    <w:p w14:paraId="657A7FD7" w14:textId="77777777" w:rsidR="00996273" w:rsidRDefault="00996273" w:rsidP="00996273">
      <w:pPr>
        <w:widowControl w:val="0"/>
        <w:spacing w:before="40" w:line="240" w:lineRule="auto"/>
        <w:ind w:left="134"/>
        <w:rPr>
          <w:sz w:val="24"/>
          <w:szCs w:val="24"/>
        </w:rPr>
      </w:pPr>
    </w:p>
    <w:p w14:paraId="1BF1594A" w14:textId="13A2BEB2" w:rsidR="00996273" w:rsidRPr="00996273" w:rsidRDefault="00996273" w:rsidP="00996273">
      <w:pPr>
        <w:widowControl w:val="0"/>
        <w:spacing w:before="40" w:line="240" w:lineRule="auto"/>
        <w:ind w:left="134"/>
        <w:rPr>
          <w:sz w:val="24"/>
          <w:szCs w:val="24"/>
        </w:rPr>
      </w:pPr>
      <w:r w:rsidRPr="00996273">
        <w:rPr>
          <w:sz w:val="24"/>
          <w:szCs w:val="24"/>
        </w:rPr>
        <w:t>Scope 3 (Value Chain Emissions)</w:t>
      </w:r>
    </w:p>
    <w:p w14:paraId="14FB32EB" w14:textId="51A43C3E" w:rsidR="00996273" w:rsidRPr="00996273" w:rsidRDefault="00996273" w:rsidP="00996273">
      <w:pPr>
        <w:widowControl w:val="0"/>
        <w:spacing w:before="40" w:line="240" w:lineRule="auto"/>
        <w:ind w:left="134"/>
        <w:rPr>
          <w:sz w:val="24"/>
          <w:szCs w:val="24"/>
        </w:rPr>
      </w:pPr>
      <w:r w:rsidRPr="00996273">
        <w:rPr>
          <w:sz w:val="24"/>
          <w:szCs w:val="24"/>
        </w:rPr>
        <w:t>Supplier Engagement: Mölnlycke plans to have 63% of its suppliers adopt science-based targets by 2028, up from 38% at the end of 2024.</w:t>
      </w:r>
    </w:p>
    <w:p w14:paraId="03DD1C58" w14:textId="72801E89" w:rsidR="00996273" w:rsidRPr="00996273" w:rsidRDefault="00996273" w:rsidP="00996273">
      <w:pPr>
        <w:widowControl w:val="0"/>
        <w:spacing w:before="40" w:line="240" w:lineRule="auto"/>
        <w:ind w:left="134"/>
        <w:rPr>
          <w:sz w:val="24"/>
          <w:szCs w:val="24"/>
        </w:rPr>
      </w:pPr>
      <w:r w:rsidRPr="00996273">
        <w:rPr>
          <w:sz w:val="24"/>
          <w:szCs w:val="24"/>
        </w:rPr>
        <w:t>Sustainable Product Design: Continued focus on material substitutions, down-gauging products, and optimizing packaging to reduce emissions across the product lifecycle.</w:t>
      </w:r>
    </w:p>
    <w:p w14:paraId="54950D92" w14:textId="3425ADA8" w:rsidR="00996273" w:rsidRPr="00996273" w:rsidRDefault="00996273" w:rsidP="00996273">
      <w:pPr>
        <w:widowControl w:val="0"/>
        <w:spacing w:before="40" w:line="240" w:lineRule="auto"/>
        <w:ind w:left="134"/>
        <w:rPr>
          <w:sz w:val="24"/>
          <w:szCs w:val="24"/>
        </w:rPr>
      </w:pPr>
      <w:r w:rsidRPr="00996273">
        <w:rPr>
          <w:sz w:val="24"/>
          <w:szCs w:val="24"/>
        </w:rPr>
        <w:t>Low-Carbon Logistics: Further optimization of transportation routes, use of lower-emission transport options, and increased circularity in products and packaging.</w:t>
      </w:r>
    </w:p>
    <w:p w14:paraId="75367D51" w14:textId="31E02282" w:rsidR="00996273" w:rsidRPr="00996273" w:rsidRDefault="00996273" w:rsidP="00996273">
      <w:pPr>
        <w:widowControl w:val="0"/>
        <w:spacing w:before="40" w:line="240" w:lineRule="auto"/>
        <w:ind w:left="134"/>
        <w:rPr>
          <w:sz w:val="24"/>
          <w:szCs w:val="24"/>
        </w:rPr>
      </w:pPr>
      <w:r w:rsidRPr="00996273">
        <w:rPr>
          <w:sz w:val="24"/>
          <w:szCs w:val="24"/>
        </w:rPr>
        <w:t xml:space="preserve">Renewable and Recycled Materials: Transition to renewable and recycled alternatives to replace </w:t>
      </w:r>
      <w:r w:rsidR="00B4474B">
        <w:rPr>
          <w:sz w:val="24"/>
          <w:szCs w:val="24"/>
        </w:rPr>
        <w:t xml:space="preserve">virgin or </w:t>
      </w:r>
      <w:r w:rsidRPr="00996273">
        <w:rPr>
          <w:sz w:val="24"/>
          <w:szCs w:val="24"/>
        </w:rPr>
        <w:t>fossil-based materials.</w:t>
      </w:r>
    </w:p>
    <w:p w14:paraId="35AB9C95" w14:textId="77777777" w:rsidR="00996273" w:rsidRDefault="00996273" w:rsidP="00996273">
      <w:pPr>
        <w:widowControl w:val="0"/>
        <w:spacing w:before="40" w:line="240" w:lineRule="auto"/>
        <w:ind w:left="134"/>
        <w:rPr>
          <w:sz w:val="24"/>
          <w:szCs w:val="24"/>
        </w:rPr>
      </w:pPr>
    </w:p>
    <w:p w14:paraId="4075B019" w14:textId="7DF185EC" w:rsidR="00996273" w:rsidRPr="00F47648" w:rsidRDefault="00996273" w:rsidP="00996273">
      <w:pPr>
        <w:widowControl w:val="0"/>
        <w:spacing w:before="40" w:line="240" w:lineRule="auto"/>
        <w:ind w:left="134"/>
        <w:rPr>
          <w:sz w:val="24"/>
          <w:szCs w:val="24"/>
        </w:rPr>
      </w:pPr>
      <w:r w:rsidRPr="00F47648">
        <w:rPr>
          <w:sz w:val="24"/>
          <w:szCs w:val="24"/>
        </w:rPr>
        <w:t>Company-Wide Initiatives</w:t>
      </w:r>
    </w:p>
    <w:p w14:paraId="58C7C08B" w14:textId="092F45B9" w:rsidR="00996273" w:rsidRPr="00996273" w:rsidRDefault="00996273" w:rsidP="00996273">
      <w:pPr>
        <w:widowControl w:val="0"/>
        <w:spacing w:before="40" w:line="240" w:lineRule="auto"/>
        <w:ind w:left="134"/>
        <w:rPr>
          <w:sz w:val="24"/>
          <w:szCs w:val="24"/>
        </w:rPr>
      </w:pPr>
      <w:r w:rsidRPr="00996273">
        <w:rPr>
          <w:sz w:val="24"/>
          <w:szCs w:val="24"/>
        </w:rPr>
        <w:t>Employee and Supplier Training: Ongoing training for employees and suppliers to ensure alignment with emission reduction strategies and sustainability goals.</w:t>
      </w:r>
    </w:p>
    <w:p w14:paraId="56BFECB0" w14:textId="47443526" w:rsidR="00996273" w:rsidRDefault="00996273" w:rsidP="00CF421D">
      <w:pPr>
        <w:widowControl w:val="0"/>
        <w:spacing w:before="40" w:line="240" w:lineRule="auto"/>
        <w:ind w:left="134"/>
        <w:rPr>
          <w:sz w:val="24"/>
          <w:szCs w:val="24"/>
        </w:rPr>
      </w:pPr>
      <w:r w:rsidRPr="00996273">
        <w:rPr>
          <w:sz w:val="24"/>
          <w:szCs w:val="24"/>
        </w:rPr>
        <w:t>Digital Solutions: Development of digital tools to support climate-smart products and enable customers to reduce their emissions.</w:t>
      </w:r>
    </w:p>
    <w:p w14:paraId="0ADF76E1" w14:textId="77777777" w:rsidR="00CF421D" w:rsidRPr="00CF421D" w:rsidRDefault="00CF421D" w:rsidP="00CF421D">
      <w:pPr>
        <w:widowControl w:val="0"/>
        <w:spacing w:before="40" w:line="240" w:lineRule="auto"/>
        <w:ind w:left="134"/>
        <w:rPr>
          <w:sz w:val="24"/>
          <w:szCs w:val="24"/>
        </w:rPr>
      </w:pPr>
    </w:p>
    <w:p w14:paraId="0883D873" w14:textId="77777777" w:rsidR="0054284E" w:rsidRDefault="00C41517">
      <w:pPr>
        <w:pStyle w:val="Heading3"/>
        <w:keepNext w:val="0"/>
        <w:keepLines w:val="0"/>
        <w:widowControl w:val="0"/>
        <w:spacing w:before="119" w:after="0" w:line="240" w:lineRule="auto"/>
        <w:ind w:left="134"/>
        <w:rPr>
          <w:b/>
          <w:color w:val="000000"/>
        </w:rPr>
      </w:pPr>
      <w:bookmarkStart w:id="8" w:name="kix.176tjog5yg1f"/>
      <w:bookmarkEnd w:id="8"/>
      <w:r>
        <w:rPr>
          <w:b/>
          <w:color w:val="000000"/>
        </w:rPr>
        <w:t>Declaration and sign off</w:t>
      </w:r>
    </w:p>
    <w:p w14:paraId="4513605C" w14:textId="77777777" w:rsidR="0054284E" w:rsidRDefault="00C41517">
      <w:pPr>
        <w:widowControl w:val="0"/>
        <w:spacing w:before="248" w:line="240" w:lineRule="auto"/>
        <w:ind w:left="134"/>
        <w:rPr>
          <w:sz w:val="24"/>
          <w:szCs w:val="24"/>
        </w:rPr>
      </w:pPr>
      <w:r>
        <w:rPr>
          <w:sz w:val="24"/>
          <w:szCs w:val="24"/>
        </w:rPr>
        <w:t>This Carbon Reduction Plan has been completed in accordance with PPN 006 and associated guidance and reporting standard for Carbon Reduction Plans.</w:t>
      </w:r>
    </w:p>
    <w:p w14:paraId="13648630" w14:textId="77777777" w:rsidR="0054284E" w:rsidRDefault="00C41517">
      <w:pPr>
        <w:widowControl w:val="0"/>
        <w:spacing w:before="240" w:line="240" w:lineRule="auto"/>
        <w:ind w:left="133" w:right="284"/>
      </w:pPr>
      <w:r>
        <w:rPr>
          <w:sz w:val="24"/>
          <w:szCs w:val="24"/>
        </w:rPr>
        <w:t xml:space="preserve">Emissions have been reported and recorded in accordance with </w:t>
      </w:r>
      <w:r>
        <w:rPr>
          <w:color w:val="0A0B0B"/>
          <w:sz w:val="24"/>
          <w:szCs w:val="24"/>
        </w:rPr>
        <w:t xml:space="preserve">the published reporting standard for Carbon Reduction Plans and the </w:t>
      </w:r>
      <w:r>
        <w:rPr>
          <w:sz w:val="24"/>
          <w:szCs w:val="24"/>
        </w:rPr>
        <w:t>GHG Reporting Protocol corporate standard</w:t>
      </w:r>
      <w:hyperlink w:anchor="_3as4poj" w:history="1">
        <w:r>
          <w:rPr>
            <w:sz w:val="24"/>
            <w:szCs w:val="24"/>
            <w:vertAlign w:val="superscript"/>
          </w:rPr>
          <w:t>13</w:t>
        </w:r>
      </w:hyperlink>
      <w:r>
        <w:rPr>
          <w:sz w:val="24"/>
          <w:szCs w:val="24"/>
        </w:rPr>
        <w:t xml:space="preserve"> </w:t>
      </w:r>
      <w:r>
        <w:rPr>
          <w:color w:val="0A0B0B"/>
          <w:sz w:val="24"/>
          <w:szCs w:val="24"/>
        </w:rPr>
        <w:t>and uses the appropri</w:t>
      </w:r>
      <w:r>
        <w:rPr>
          <w:sz w:val="24"/>
          <w:szCs w:val="24"/>
        </w:rPr>
        <w:t xml:space="preserve">ate </w:t>
      </w:r>
      <w:hyperlink r:id="rId8" w:history="1">
        <w:r>
          <w:rPr>
            <w:sz w:val="24"/>
            <w:szCs w:val="24"/>
          </w:rPr>
          <w:t>government emission conversion factors for</w:t>
        </w:r>
      </w:hyperlink>
      <w:r>
        <w:rPr>
          <w:sz w:val="24"/>
          <w:szCs w:val="24"/>
        </w:rPr>
        <w:t xml:space="preserve"> </w:t>
      </w:r>
      <w:hyperlink r:id="rId9" w:history="1">
        <w:r>
          <w:rPr>
            <w:sz w:val="24"/>
            <w:szCs w:val="24"/>
          </w:rPr>
          <w:t>greenhouse gas company reporting</w:t>
        </w:r>
      </w:hyperlink>
      <w:r>
        <w:rPr>
          <w:sz w:val="24"/>
          <w:szCs w:val="24"/>
        </w:rPr>
        <w:t>.</w:t>
      </w:r>
      <w:hyperlink w:anchor="_1pxezwc" w:history="1">
        <w:r>
          <w:rPr>
            <w:sz w:val="24"/>
            <w:szCs w:val="24"/>
            <w:vertAlign w:val="superscript"/>
          </w:rPr>
          <w:t>14</w:t>
        </w:r>
      </w:hyperlink>
    </w:p>
    <w:p w14:paraId="127C8DF9" w14:textId="77777777" w:rsidR="0054284E" w:rsidRDefault="00C41517">
      <w:pPr>
        <w:widowControl w:val="0"/>
        <w:spacing w:before="241" w:line="240" w:lineRule="auto"/>
        <w:ind w:left="133"/>
      </w:pPr>
      <w:r>
        <w:rPr>
          <w:color w:val="0A0B0B"/>
          <w:sz w:val="24"/>
          <w:szCs w:val="24"/>
        </w:rPr>
        <w:t xml:space="preserve">Scope 1 and Scope 2 emissions have been reported in accordance with SECR requirements (where required), and the required subset of Scope 3 emissions have been reported in accordance with the published reporting standard for Carbon Reduction Plans and the </w:t>
      </w:r>
      <w:r>
        <w:rPr>
          <w:sz w:val="24"/>
          <w:szCs w:val="24"/>
        </w:rPr>
        <w:t>Corporate Value Chain (Scope 3) Standard.</w:t>
      </w:r>
      <w:hyperlink w:anchor="_49x2ik5" w:history="1">
        <w:r>
          <w:rPr>
            <w:sz w:val="24"/>
            <w:szCs w:val="24"/>
            <w:vertAlign w:val="superscript"/>
          </w:rPr>
          <w:t>15</w:t>
        </w:r>
      </w:hyperlink>
    </w:p>
    <w:p w14:paraId="4F5F3537" w14:textId="77777777" w:rsidR="0054284E" w:rsidRDefault="00C41517">
      <w:pPr>
        <w:widowControl w:val="0"/>
        <w:spacing w:before="240" w:line="240" w:lineRule="auto"/>
        <w:ind w:left="133" w:right="211"/>
      </w:pPr>
      <w:r>
        <w:rPr>
          <w:color w:val="0A0B0B"/>
          <w:sz w:val="24"/>
          <w:szCs w:val="24"/>
        </w:rPr>
        <w:t xml:space="preserve">This Carbon Reduction Plan has been reviewed and signed off </w:t>
      </w:r>
      <w:r>
        <w:rPr>
          <w:sz w:val="24"/>
          <w:szCs w:val="24"/>
        </w:rPr>
        <w:t>by the board of directors (or equivalent management body).</w:t>
      </w:r>
    </w:p>
    <w:p w14:paraId="12895BD2" w14:textId="77777777" w:rsidR="0054284E" w:rsidRDefault="0054284E">
      <w:pPr>
        <w:widowControl w:val="0"/>
        <w:spacing w:before="3" w:line="240" w:lineRule="auto"/>
        <w:rPr>
          <w:sz w:val="24"/>
          <w:szCs w:val="24"/>
        </w:rPr>
      </w:pPr>
    </w:p>
    <w:p w14:paraId="3A943CCA" w14:textId="77777777" w:rsidR="0054284E" w:rsidRDefault="00C41517">
      <w:pPr>
        <w:pStyle w:val="Heading3"/>
        <w:keepNext w:val="0"/>
        <w:keepLines w:val="0"/>
        <w:widowControl w:val="0"/>
        <w:spacing w:before="0" w:after="0" w:line="240" w:lineRule="auto"/>
        <w:ind w:left="134"/>
        <w:rPr>
          <w:b/>
          <w:color w:val="000000"/>
        </w:rPr>
      </w:pPr>
      <w:bookmarkStart w:id="9" w:name="kix.dr7o0yd6udgl"/>
      <w:bookmarkEnd w:id="9"/>
      <w:r>
        <w:rPr>
          <w:b/>
          <w:color w:val="000000"/>
        </w:rPr>
        <w:t>Signed on behalf of the supplier:</w:t>
      </w:r>
    </w:p>
    <w:p w14:paraId="11428FD1" w14:textId="379C5EF2" w:rsidR="0054284E" w:rsidRDefault="00627A8A" w:rsidP="00CF421D">
      <w:pPr>
        <w:widowControl w:val="0"/>
        <w:spacing w:before="120" w:line="446" w:lineRule="auto"/>
        <w:ind w:left="130" w:right="2376"/>
        <w:rPr>
          <w:sz w:val="24"/>
          <w:szCs w:val="24"/>
        </w:rPr>
      </w:pPr>
      <w:r w:rsidRPr="00627A8A">
        <w:rPr>
          <w:noProof/>
          <w:sz w:val="24"/>
          <w:szCs w:val="24"/>
        </w:rPr>
        <w:drawing>
          <wp:inline distT="0" distB="0" distL="0" distR="0" wp14:anchorId="37C6EE60" wp14:editId="70734351">
            <wp:extent cx="1228725" cy="247901"/>
            <wp:effectExtent l="0" t="0" r="0" b="0"/>
            <wp:docPr id="200823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250" cy="248814"/>
                    </a:xfrm>
                    <a:prstGeom prst="rect">
                      <a:avLst/>
                    </a:prstGeom>
                    <a:noFill/>
                    <a:ln>
                      <a:noFill/>
                    </a:ln>
                  </pic:spPr>
                </pic:pic>
              </a:graphicData>
            </a:graphic>
          </wp:inline>
        </w:drawing>
      </w:r>
      <w:r w:rsidRPr="00C020CD">
        <w:rPr>
          <w:sz w:val="24"/>
          <w:szCs w:val="24"/>
        </w:rPr>
        <w:t xml:space="preserve">  Caterina Camerani, Vice </w:t>
      </w:r>
      <w:r w:rsidRPr="00627A8A">
        <w:rPr>
          <w:sz w:val="24"/>
          <w:szCs w:val="24"/>
        </w:rPr>
        <w:t>President Sustainability</w:t>
      </w:r>
      <w:r w:rsidRPr="00C020CD">
        <w:rPr>
          <w:sz w:val="24"/>
          <w:szCs w:val="24"/>
        </w:rPr>
        <w:t xml:space="preserve"> </w:t>
      </w:r>
      <w:r w:rsidR="00C41517">
        <w:rPr>
          <w:sz w:val="24"/>
          <w:szCs w:val="24"/>
        </w:rPr>
        <w:t xml:space="preserve">Date: </w:t>
      </w:r>
      <w:r>
        <w:rPr>
          <w:sz w:val="24"/>
          <w:szCs w:val="24"/>
        </w:rPr>
        <w:t>26 Jun 2025</w:t>
      </w:r>
    </w:p>
    <w:p w14:paraId="4BBF5AEE" w14:textId="40EA6FA6" w:rsidR="0054284E" w:rsidRDefault="00C41517" w:rsidP="00627A8A">
      <w:pPr>
        <w:widowControl w:val="0"/>
        <w:spacing w:before="83" w:line="240" w:lineRule="auto"/>
      </w:pPr>
      <w:r>
        <w:rPr>
          <w:noProof/>
        </w:rPr>
        <w:lastRenderedPageBreak/>
        <mc:AlternateContent>
          <mc:Choice Requires="wps">
            <w:drawing>
              <wp:anchor distT="0" distB="0" distL="114300" distR="114300" simplePos="0" relativeHeight="251658240" behindDoc="0" locked="0" layoutInCell="1" allowOverlap="1" wp14:anchorId="35298264" wp14:editId="147C1424">
                <wp:simplePos x="0" y="0"/>
                <wp:positionH relativeFrom="column">
                  <wp:posOffset>38103</wp:posOffset>
                </wp:positionH>
                <wp:positionV relativeFrom="paragraph">
                  <wp:posOffset>203197</wp:posOffset>
                </wp:positionV>
                <wp:extent cx="12701" cy="12701"/>
                <wp:effectExtent l="0" t="0" r="25399" b="44449"/>
                <wp:wrapTopAndBottom/>
                <wp:docPr id="358891429" name="Freeform: Shape 5"/>
                <wp:cNvGraphicFramePr/>
                <a:graphic xmlns:a="http://schemas.openxmlformats.org/drawingml/2006/main">
                  <a:graphicData uri="http://schemas.microsoft.com/office/word/2010/wordprocessingShape">
                    <wps:wsp>
                      <wps:cNvSpPr/>
                      <wps:spPr>
                        <a:xfrm>
                          <a:off x="0" y="0"/>
                          <a:ext cx="12701" cy="12701"/>
                        </a:xfrm>
                        <a:custGeom>
                          <a:avLst/>
                          <a:gdLst>
                            <a:gd name="f0" fmla="val w"/>
                            <a:gd name="f1" fmla="val h"/>
                            <a:gd name="f2" fmla="val 0"/>
                            <a:gd name="f3" fmla="val 1828800"/>
                            <a:gd name="f4" fmla="val 7620"/>
                            <a:gd name="f5" fmla="*/ f0 1 1828800"/>
                            <a:gd name="f6" fmla="*/ f1 1 7620"/>
                            <a:gd name="f7" fmla="val f2"/>
                            <a:gd name="f8" fmla="val f3"/>
                            <a:gd name="f9" fmla="val f4"/>
                            <a:gd name="f10" fmla="+- f9 0 f7"/>
                            <a:gd name="f11" fmla="+- f8 0 f7"/>
                            <a:gd name="f12" fmla="*/ f11 1 1828800"/>
                            <a:gd name="f13" fmla="*/ f10 1 762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00" h="7620">
                              <a:moveTo>
                                <a:pt x="f3" y="f2"/>
                              </a:moveTo>
                              <a:lnTo>
                                <a:pt x="f2" y="f2"/>
                              </a:lnTo>
                              <a:lnTo>
                                <a:pt x="f2" y="f4"/>
                              </a:lnTo>
                              <a:lnTo>
                                <a:pt x="f3" y="f4"/>
                              </a:lnTo>
                              <a:lnTo>
                                <a:pt x="f3" y="f2"/>
                              </a:lnTo>
                              <a:close/>
                            </a:path>
                          </a:pathLst>
                        </a:custGeom>
                        <a:solidFill>
                          <a:srgbClr val="000000"/>
                        </a:solidFill>
                        <a:ln cap="flat">
                          <a:noFill/>
                          <a:prstDash val="solid"/>
                        </a:ln>
                        <a:effectLst>
                          <a:outerShdw dist="22997" dir="5400000" algn="tl">
                            <a:srgbClr val="000000">
                              <a:alpha val="35000"/>
                            </a:srgbClr>
                          </a:outerShdw>
                        </a:effectLst>
                      </wps:spPr>
                      <wps:bodyPr lIns="0" tIns="0" rIns="0" bIns="0"/>
                    </wps:wsp>
                  </a:graphicData>
                </a:graphic>
              </wp:anchor>
            </w:drawing>
          </mc:Choice>
          <mc:Fallback xmlns:arto="http://schemas.microsoft.com/office/word/2006/arto" xmlns:a14="http://schemas.microsoft.com/office/drawing/2010/main" xmlns:pic="http://schemas.openxmlformats.org/drawingml/2006/picture" xmlns:c="http://schemas.openxmlformats.org/drawingml/2006/chart" xmlns:a="http://schemas.openxmlformats.org/drawingml/2006/main" xmlns:w16sdtfl="http://schemas.microsoft.com/office/word/2024/wordml/sdtformatlock" xmlns:w16du="http://schemas.microsoft.com/office/word/2023/wordml/word16du">
            <w:pict w14:anchorId="4D1B09E0">
              <v:shape id="Freeform: Shape 5" style="position:absolute;margin-left:3pt;margin-top:16pt;width:1pt;height:1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NSPAMAANUIAAAOAAAAZHJzL2Uyb0RvYy54bWysVttu2zAMfR+wfxD8uGG15dyDJn1Y0WHA&#10;sBVo9wGKLMUGZMuQ1Dj9+5GyrThxAgzD+mDT4dEReShSvX84loochLGFrjYRvUsiIiqus6Lab6Lf&#10;r09flhGxjlUZU7oSm+hd2Ohh+/HDfVOvRapzrTJhCJBUdt3Umyh3rl7HseW5KJm907WowCm1KZmD&#10;T7OPM8MaYC9VnCbJPG60yWqjubAWfn1sndHW80spuPslpRWOqE0EsTn/NP65w2e8vWfrvWF1XvAu&#10;DPYPUZSsqGDTQPXIHCNvphhRlQU32mrp7rguYy1lwYXPAbKhyUU2Lzmrhc8FxLF1kMn+P1r+8/BS&#10;PxuQoant2oKJWRylKfEN8ZGjF+s9iCWOjnD4kaaLhEaEg6c1gSM+LeVv1n0T2tOwww/rWqUzsLxO&#10;GalYCQdCQlVkqUD0A1Ok6QoSvLDDyZtfetOhty9mWDsZeukyXS6TEWY6xCzm6Qgw6wGfYiITQskN&#10;ovkQByhyjWzRgzBXmV6mA71ySlZOLt2rM/f00k2Dkp+/ELkiCZGLESboiZjldUxQFVOmmMuNnGlQ&#10;2CNRnWtZ0yAywhaAknSUOz0TenkDdKZyyzSSiQaVcbuVZxqDgtY+9CmRM0JHagXFPWh2FQRHpqua&#10;By2InI+Z0qC7B80DCDpm3/cEy/s24ceq6xOwCMNZOuHZ1E+YWlvsyZxHBFrPYcxAAjhsqwBPhljj&#10;oQd+A3udeXcTnQ651RXuNp4uAwMzGKevpCA5zF+JWsAElhTUhRks+56rmUMBMA00SQODpWtakm8i&#10;f7LQWeqDeNUe5lAJaBRUom0n2PrkV9UZDs71ENd7+3fdsnUo317A1nv7d4fq9vw7lD/sAy6utBVt&#10;3TBTX8CQPYo3mJ1WqyJ7KpTChK3Z774qQ2B8wDz2f12VzmCqIpzBZSoVc75WlUYGP4FrY90js3nL&#10;4Zd1FMqfIOEvza4O+s0J85JnDckKC7VL09UKuisroH6zabs/YWoPV79TfqdrEWLkTNU5a/eczGBh&#10;H3abkFcgbOa/BnHEp6sJrZ3O3p8NUd8ruAfxTu8N0xu7zkCJcQXcnZ6zu+fxch5+e9Tpv5HtHwAA&#10;AP//AwBQSwMEFAAGAAgAAAAhAOCjjkTcAAAABQEAAA8AAABkcnMvZG93bnJldi54bWxMj0FLw0AQ&#10;he+C/2GZgje7SU1LidkUFQWxULAKXjfZMQnNzobdbRP76zue9PR4vOHN94rNZHtxQh86RwrSeQIC&#10;qXamo0bB58fL7RpEiJqM7h2hgh8MsCmvrwqdGzfSO572sRFcQiHXCtoYh1zKULdodZi7AYmzb+et&#10;jmx9I43XI5fbXi6SZCWt7og/tHrApxbrw/5ouWWsvnbn52aZnXfL7u0126aPqVfqZjY93IOIOMW/&#10;Y/jFZ3QomalyRzJB9ApWvCQquFuwcrxmqdhmCciykP/pywsAAAD//wMAUEsBAi0AFAAGAAgAAAAh&#10;ALaDOJL+AAAA4QEAABMAAAAAAAAAAAAAAAAAAAAAAFtDb250ZW50X1R5cGVzXS54bWxQSwECLQAU&#10;AAYACAAAACEAOP0h/9YAAACUAQAACwAAAAAAAAAAAAAAAAAvAQAAX3JlbHMvLnJlbHNQSwECLQAU&#10;AAYACAAAACEAfAXDUjwDAADVCAAADgAAAAAAAAAAAAAAAAAuAgAAZHJzL2Uyb0RvYy54bWxQSwEC&#10;LQAUAAYACAAAACEA4KOORNwAAAAFAQAADwAAAAAAAAAAAAAAAACWBQAAZHJzL2Rvd25yZXYueG1s&#10;UEsFBgAAAAAEAAQA8wAAAJ8GAAAAAA==&#10;" w14:anchorId="3DE5181A">
                <v:shadow on="t" color="black" opacity="22937f" offset="0,.63881mm" origin="-.5,-.5"/>
                <v:path textboxrect="0,0,1828800,7620" arrowok="t" o:connecttype="custom" o:connectlocs="6351,0;12701,6351;6351,12701;0,6351" o:connectangles="270,0,90,180"/>
                <w10:wrap type="topAndBottom"/>
              </v:shape>
            </w:pict>
          </mc:Fallback>
        </mc:AlternateContent>
      </w:r>
      <w:bookmarkStart w:id="10" w:name="_3as4poj"/>
      <w:bookmarkEnd w:id="10"/>
      <w:r>
        <w:rPr>
          <w:sz w:val="26"/>
          <w:szCs w:val="26"/>
          <w:vertAlign w:val="superscript"/>
        </w:rPr>
        <w:t xml:space="preserve">13 </w:t>
      </w:r>
      <w:hyperlink r:id="rId11" w:history="1">
        <w:r>
          <w:rPr>
            <w:color w:val="005ABA"/>
            <w:sz w:val="20"/>
            <w:szCs w:val="20"/>
            <w:u w:val="single"/>
          </w:rPr>
          <w:t>https://ghgprotocol.org/corporate-standard</w:t>
        </w:r>
      </w:hyperlink>
    </w:p>
    <w:p w14:paraId="0710498F" w14:textId="77777777" w:rsidR="0054284E" w:rsidRDefault="00C41517">
      <w:pPr>
        <w:widowControl w:val="0"/>
        <w:spacing w:before="4" w:line="240" w:lineRule="auto"/>
        <w:ind w:left="134"/>
      </w:pPr>
      <w:bookmarkStart w:id="11" w:name="_1pxezwc"/>
      <w:bookmarkEnd w:id="11"/>
      <w:r>
        <w:rPr>
          <w:sz w:val="26"/>
          <w:szCs w:val="26"/>
          <w:vertAlign w:val="superscript"/>
        </w:rPr>
        <w:t xml:space="preserve">14 </w:t>
      </w:r>
      <w:hyperlink r:id="rId12" w:history="1">
        <w:r>
          <w:rPr>
            <w:color w:val="0000FF"/>
            <w:sz w:val="20"/>
            <w:szCs w:val="20"/>
            <w:u w:val="single"/>
          </w:rPr>
          <w:t>www.gov.uk/government/collections/government-conversion-factors-for-company-reporting</w:t>
        </w:r>
      </w:hyperlink>
    </w:p>
    <w:p w14:paraId="518AAA3C" w14:textId="10EA710A" w:rsidR="0054284E" w:rsidRDefault="00C41517" w:rsidP="00627A8A">
      <w:pPr>
        <w:widowControl w:val="0"/>
        <w:spacing w:before="3" w:line="240" w:lineRule="auto"/>
        <w:ind w:left="134"/>
      </w:pPr>
      <w:bookmarkStart w:id="12" w:name="_49x2ik5"/>
      <w:bookmarkEnd w:id="12"/>
      <w:r>
        <w:rPr>
          <w:sz w:val="26"/>
          <w:szCs w:val="26"/>
          <w:vertAlign w:val="superscript"/>
        </w:rPr>
        <w:t xml:space="preserve">15 </w:t>
      </w:r>
      <w:hyperlink r:id="rId13" w:history="1">
        <w:r>
          <w:rPr>
            <w:color w:val="005ABA"/>
            <w:sz w:val="20"/>
            <w:szCs w:val="20"/>
            <w:u w:val="single"/>
          </w:rPr>
          <w:t>https://ghgprotocol.org/standards/scope-3-standard</w:t>
        </w:r>
      </w:hyperlink>
      <w:bookmarkStart w:id="13" w:name="kix.ju51hrbm2gdr"/>
      <w:bookmarkEnd w:id="13"/>
    </w:p>
    <w:sectPr w:rsidR="0054284E">
      <w:pgSz w:w="11909" w:h="16834"/>
      <w:pgMar w:top="1040" w:right="1020" w:bottom="82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5ECB" w14:textId="77777777" w:rsidR="008F6C64" w:rsidRDefault="008F6C64">
      <w:pPr>
        <w:spacing w:line="240" w:lineRule="auto"/>
      </w:pPr>
      <w:r>
        <w:separator/>
      </w:r>
    </w:p>
  </w:endnote>
  <w:endnote w:type="continuationSeparator" w:id="0">
    <w:p w14:paraId="2F7F5596" w14:textId="77777777" w:rsidR="008F6C64" w:rsidRDefault="008F6C64">
      <w:pPr>
        <w:spacing w:line="240" w:lineRule="auto"/>
      </w:pPr>
      <w:r>
        <w:continuationSeparator/>
      </w:r>
    </w:p>
  </w:endnote>
  <w:endnote w:type="continuationNotice" w:id="1">
    <w:p w14:paraId="68A9C305" w14:textId="77777777" w:rsidR="008F6C64" w:rsidRDefault="008F6C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5925" w14:textId="77777777" w:rsidR="008F6C64" w:rsidRDefault="008F6C64">
      <w:pPr>
        <w:spacing w:line="240" w:lineRule="auto"/>
      </w:pPr>
      <w:r>
        <w:rPr>
          <w:color w:val="000000"/>
        </w:rPr>
        <w:separator/>
      </w:r>
    </w:p>
  </w:footnote>
  <w:footnote w:type="continuationSeparator" w:id="0">
    <w:p w14:paraId="66B33F6A" w14:textId="77777777" w:rsidR="008F6C64" w:rsidRDefault="008F6C64">
      <w:pPr>
        <w:spacing w:line="240" w:lineRule="auto"/>
      </w:pPr>
      <w:r>
        <w:continuationSeparator/>
      </w:r>
    </w:p>
  </w:footnote>
  <w:footnote w:type="continuationNotice" w:id="1">
    <w:p w14:paraId="3527432C" w14:textId="77777777" w:rsidR="008F6C64" w:rsidRDefault="008F6C6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0C9E"/>
    <w:multiLevelType w:val="hybridMultilevel"/>
    <w:tmpl w:val="966045AE"/>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 w15:restartNumberingAfterBreak="0">
    <w:nsid w:val="4DDA5925"/>
    <w:multiLevelType w:val="multilevel"/>
    <w:tmpl w:val="4BECEDEC"/>
    <w:lvl w:ilvl="0">
      <w:start w:val="1"/>
      <w:numFmt w:val="decimal"/>
      <w:lvlText w:val="%1."/>
      <w:lvlJc w:val="left"/>
      <w:pPr>
        <w:ind w:left="587" w:hanging="452"/>
      </w:pPr>
      <w:rPr>
        <w:u w:val="none"/>
      </w:rPr>
    </w:lvl>
    <w:lvl w:ilvl="1">
      <w:numFmt w:val="bullet"/>
      <w:lvlText w:val="●"/>
      <w:lvlJc w:val="left"/>
      <w:pPr>
        <w:ind w:left="945" w:hanging="358"/>
      </w:pPr>
      <w:rPr>
        <w:u w:val="none"/>
      </w:rPr>
    </w:lvl>
    <w:lvl w:ilvl="2">
      <w:numFmt w:val="bullet"/>
      <w:lvlText w:val="•"/>
      <w:lvlJc w:val="left"/>
      <w:pPr>
        <w:ind w:left="940" w:hanging="358"/>
      </w:pPr>
      <w:rPr>
        <w:u w:val="none"/>
      </w:rPr>
    </w:lvl>
    <w:lvl w:ilvl="3">
      <w:numFmt w:val="bullet"/>
      <w:lvlText w:val="•"/>
      <w:lvlJc w:val="left"/>
      <w:pPr>
        <w:ind w:left="2058" w:hanging="358"/>
      </w:pPr>
      <w:rPr>
        <w:u w:val="none"/>
      </w:rPr>
    </w:lvl>
    <w:lvl w:ilvl="4">
      <w:numFmt w:val="bullet"/>
      <w:lvlText w:val="•"/>
      <w:lvlJc w:val="left"/>
      <w:pPr>
        <w:ind w:left="3176" w:hanging="358"/>
      </w:pPr>
      <w:rPr>
        <w:u w:val="none"/>
      </w:rPr>
    </w:lvl>
    <w:lvl w:ilvl="5">
      <w:numFmt w:val="bullet"/>
      <w:lvlText w:val="•"/>
      <w:lvlJc w:val="left"/>
      <w:pPr>
        <w:ind w:left="4295" w:hanging="358"/>
      </w:pPr>
      <w:rPr>
        <w:u w:val="none"/>
      </w:rPr>
    </w:lvl>
    <w:lvl w:ilvl="6">
      <w:numFmt w:val="bullet"/>
      <w:lvlText w:val="•"/>
      <w:lvlJc w:val="left"/>
      <w:pPr>
        <w:ind w:left="5413" w:hanging="358"/>
      </w:pPr>
      <w:rPr>
        <w:u w:val="none"/>
      </w:rPr>
    </w:lvl>
    <w:lvl w:ilvl="7">
      <w:numFmt w:val="bullet"/>
      <w:lvlText w:val="•"/>
      <w:lvlJc w:val="left"/>
      <w:pPr>
        <w:ind w:left="6532" w:hanging="357"/>
      </w:pPr>
      <w:rPr>
        <w:u w:val="none"/>
      </w:rPr>
    </w:lvl>
    <w:lvl w:ilvl="8">
      <w:numFmt w:val="bullet"/>
      <w:lvlText w:val="•"/>
      <w:lvlJc w:val="left"/>
      <w:pPr>
        <w:ind w:left="7650" w:hanging="358"/>
      </w:pPr>
      <w:rPr>
        <w:u w:val="none"/>
      </w:rPr>
    </w:lvl>
  </w:abstractNum>
  <w:abstractNum w:abstractNumId="2" w15:restartNumberingAfterBreak="0">
    <w:nsid w:val="569F5E66"/>
    <w:multiLevelType w:val="hybridMultilevel"/>
    <w:tmpl w:val="89DAF75E"/>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3" w15:restartNumberingAfterBreak="0">
    <w:nsid w:val="58063395"/>
    <w:multiLevelType w:val="multilevel"/>
    <w:tmpl w:val="1EDA055A"/>
    <w:lvl w:ilvl="0">
      <w:numFmt w:val="bullet"/>
      <w:lvlText w:val="●"/>
      <w:lvlJc w:val="left"/>
      <w:pPr>
        <w:ind w:left="491" w:hanging="357"/>
      </w:pPr>
      <w:rPr>
        <w:u w:val="none"/>
      </w:rPr>
    </w:lvl>
    <w:lvl w:ilvl="1">
      <w:numFmt w:val="bullet"/>
      <w:lvlText w:val="•"/>
      <w:lvlJc w:val="left"/>
      <w:pPr>
        <w:ind w:left="1438" w:hanging="357"/>
      </w:pPr>
      <w:rPr>
        <w:u w:val="none"/>
      </w:rPr>
    </w:lvl>
    <w:lvl w:ilvl="2">
      <w:numFmt w:val="bullet"/>
      <w:lvlText w:val="•"/>
      <w:lvlJc w:val="left"/>
      <w:pPr>
        <w:ind w:left="2377" w:hanging="358"/>
      </w:pPr>
      <w:rPr>
        <w:u w:val="none"/>
      </w:rPr>
    </w:lvl>
    <w:lvl w:ilvl="3">
      <w:numFmt w:val="bullet"/>
      <w:lvlText w:val="•"/>
      <w:lvlJc w:val="left"/>
      <w:pPr>
        <w:ind w:left="3316" w:hanging="358"/>
      </w:pPr>
      <w:rPr>
        <w:u w:val="none"/>
      </w:rPr>
    </w:lvl>
    <w:lvl w:ilvl="4">
      <w:numFmt w:val="bullet"/>
      <w:lvlText w:val="•"/>
      <w:lvlJc w:val="left"/>
      <w:pPr>
        <w:ind w:left="4255" w:hanging="358"/>
      </w:pPr>
      <w:rPr>
        <w:u w:val="none"/>
      </w:rPr>
    </w:lvl>
    <w:lvl w:ilvl="5">
      <w:numFmt w:val="bullet"/>
      <w:lvlText w:val="•"/>
      <w:lvlJc w:val="left"/>
      <w:pPr>
        <w:ind w:left="5193" w:hanging="358"/>
      </w:pPr>
      <w:rPr>
        <w:u w:val="none"/>
      </w:rPr>
    </w:lvl>
    <w:lvl w:ilvl="6">
      <w:numFmt w:val="bullet"/>
      <w:lvlText w:val="•"/>
      <w:lvlJc w:val="left"/>
      <w:pPr>
        <w:ind w:left="6132" w:hanging="357"/>
      </w:pPr>
      <w:rPr>
        <w:u w:val="none"/>
      </w:rPr>
    </w:lvl>
    <w:lvl w:ilvl="7">
      <w:numFmt w:val="bullet"/>
      <w:lvlText w:val="•"/>
      <w:lvlJc w:val="left"/>
      <w:pPr>
        <w:ind w:left="7071" w:hanging="357"/>
      </w:pPr>
      <w:rPr>
        <w:u w:val="none"/>
      </w:rPr>
    </w:lvl>
    <w:lvl w:ilvl="8">
      <w:numFmt w:val="bullet"/>
      <w:lvlText w:val="•"/>
      <w:lvlJc w:val="left"/>
      <w:pPr>
        <w:ind w:left="8010" w:hanging="358"/>
      </w:pPr>
      <w:rPr>
        <w:u w:val="none"/>
      </w:rPr>
    </w:lvl>
  </w:abstractNum>
  <w:abstractNum w:abstractNumId="4" w15:restartNumberingAfterBreak="0">
    <w:nsid w:val="7301303D"/>
    <w:multiLevelType w:val="hybridMultilevel"/>
    <w:tmpl w:val="5B9267B4"/>
    <w:lvl w:ilvl="0" w:tplc="6192762E">
      <w:numFmt w:val="bullet"/>
      <w:lvlText w:val="-"/>
      <w:lvlJc w:val="left"/>
      <w:pPr>
        <w:ind w:left="494" w:hanging="360"/>
      </w:pPr>
      <w:rPr>
        <w:rFonts w:ascii="Arial" w:eastAsia="Arial" w:hAnsi="Arial" w:cs="Arial" w:hint="default"/>
      </w:rPr>
    </w:lvl>
    <w:lvl w:ilvl="1" w:tplc="041D0003">
      <w:start w:val="1"/>
      <w:numFmt w:val="bullet"/>
      <w:lvlText w:val="o"/>
      <w:lvlJc w:val="left"/>
      <w:pPr>
        <w:ind w:left="1214" w:hanging="360"/>
      </w:pPr>
      <w:rPr>
        <w:rFonts w:ascii="Courier New" w:hAnsi="Courier New" w:cs="Courier New" w:hint="default"/>
      </w:rPr>
    </w:lvl>
    <w:lvl w:ilvl="2" w:tplc="041D0005" w:tentative="1">
      <w:start w:val="1"/>
      <w:numFmt w:val="bullet"/>
      <w:lvlText w:val=""/>
      <w:lvlJc w:val="left"/>
      <w:pPr>
        <w:ind w:left="1934" w:hanging="360"/>
      </w:pPr>
      <w:rPr>
        <w:rFonts w:ascii="Wingdings" w:hAnsi="Wingdings" w:hint="default"/>
      </w:rPr>
    </w:lvl>
    <w:lvl w:ilvl="3" w:tplc="041D0001" w:tentative="1">
      <w:start w:val="1"/>
      <w:numFmt w:val="bullet"/>
      <w:lvlText w:val=""/>
      <w:lvlJc w:val="left"/>
      <w:pPr>
        <w:ind w:left="2654" w:hanging="360"/>
      </w:pPr>
      <w:rPr>
        <w:rFonts w:ascii="Symbol" w:hAnsi="Symbol" w:hint="default"/>
      </w:rPr>
    </w:lvl>
    <w:lvl w:ilvl="4" w:tplc="041D0003" w:tentative="1">
      <w:start w:val="1"/>
      <w:numFmt w:val="bullet"/>
      <w:lvlText w:val="o"/>
      <w:lvlJc w:val="left"/>
      <w:pPr>
        <w:ind w:left="3374" w:hanging="360"/>
      </w:pPr>
      <w:rPr>
        <w:rFonts w:ascii="Courier New" w:hAnsi="Courier New" w:cs="Courier New" w:hint="default"/>
      </w:rPr>
    </w:lvl>
    <w:lvl w:ilvl="5" w:tplc="041D0005" w:tentative="1">
      <w:start w:val="1"/>
      <w:numFmt w:val="bullet"/>
      <w:lvlText w:val=""/>
      <w:lvlJc w:val="left"/>
      <w:pPr>
        <w:ind w:left="4094" w:hanging="360"/>
      </w:pPr>
      <w:rPr>
        <w:rFonts w:ascii="Wingdings" w:hAnsi="Wingdings" w:hint="default"/>
      </w:rPr>
    </w:lvl>
    <w:lvl w:ilvl="6" w:tplc="041D0001" w:tentative="1">
      <w:start w:val="1"/>
      <w:numFmt w:val="bullet"/>
      <w:lvlText w:val=""/>
      <w:lvlJc w:val="left"/>
      <w:pPr>
        <w:ind w:left="4814" w:hanging="360"/>
      </w:pPr>
      <w:rPr>
        <w:rFonts w:ascii="Symbol" w:hAnsi="Symbol" w:hint="default"/>
      </w:rPr>
    </w:lvl>
    <w:lvl w:ilvl="7" w:tplc="041D0003" w:tentative="1">
      <w:start w:val="1"/>
      <w:numFmt w:val="bullet"/>
      <w:lvlText w:val="o"/>
      <w:lvlJc w:val="left"/>
      <w:pPr>
        <w:ind w:left="5534" w:hanging="360"/>
      </w:pPr>
      <w:rPr>
        <w:rFonts w:ascii="Courier New" w:hAnsi="Courier New" w:cs="Courier New" w:hint="default"/>
      </w:rPr>
    </w:lvl>
    <w:lvl w:ilvl="8" w:tplc="041D0005" w:tentative="1">
      <w:start w:val="1"/>
      <w:numFmt w:val="bullet"/>
      <w:lvlText w:val=""/>
      <w:lvlJc w:val="left"/>
      <w:pPr>
        <w:ind w:left="6254" w:hanging="360"/>
      </w:pPr>
      <w:rPr>
        <w:rFonts w:ascii="Wingdings" w:hAnsi="Wingdings" w:hint="default"/>
      </w:rPr>
    </w:lvl>
  </w:abstractNum>
  <w:num w:numId="1" w16cid:durableId="336809357">
    <w:abstractNumId w:val="1"/>
  </w:num>
  <w:num w:numId="2" w16cid:durableId="1738896166">
    <w:abstractNumId w:val="3"/>
  </w:num>
  <w:num w:numId="3" w16cid:durableId="1987775983">
    <w:abstractNumId w:val="4"/>
  </w:num>
  <w:num w:numId="4" w16cid:durableId="820733356">
    <w:abstractNumId w:val="2"/>
  </w:num>
  <w:num w:numId="5" w16cid:durableId="79229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4E"/>
    <w:rsid w:val="000322D1"/>
    <w:rsid w:val="00036D5A"/>
    <w:rsid w:val="00050EDE"/>
    <w:rsid w:val="00085155"/>
    <w:rsid w:val="000C7113"/>
    <w:rsid w:val="000F6471"/>
    <w:rsid w:val="001D7A82"/>
    <w:rsid w:val="00233992"/>
    <w:rsid w:val="003C72A9"/>
    <w:rsid w:val="004736A1"/>
    <w:rsid w:val="004B477D"/>
    <w:rsid w:val="004F1FEF"/>
    <w:rsid w:val="005024FB"/>
    <w:rsid w:val="00513FB9"/>
    <w:rsid w:val="00526164"/>
    <w:rsid w:val="0054284E"/>
    <w:rsid w:val="00573566"/>
    <w:rsid w:val="00627A8A"/>
    <w:rsid w:val="00632234"/>
    <w:rsid w:val="0069589C"/>
    <w:rsid w:val="006E143D"/>
    <w:rsid w:val="006E2864"/>
    <w:rsid w:val="006F3243"/>
    <w:rsid w:val="006F3D7C"/>
    <w:rsid w:val="00715946"/>
    <w:rsid w:val="00715F7D"/>
    <w:rsid w:val="007257E7"/>
    <w:rsid w:val="007957C6"/>
    <w:rsid w:val="00871419"/>
    <w:rsid w:val="00891951"/>
    <w:rsid w:val="008F6C64"/>
    <w:rsid w:val="00996273"/>
    <w:rsid w:val="00A30C5E"/>
    <w:rsid w:val="00A41A56"/>
    <w:rsid w:val="00A675A5"/>
    <w:rsid w:val="00A768C7"/>
    <w:rsid w:val="00AA673C"/>
    <w:rsid w:val="00B077BF"/>
    <w:rsid w:val="00B4474B"/>
    <w:rsid w:val="00B660F7"/>
    <w:rsid w:val="00BB100D"/>
    <w:rsid w:val="00C020CD"/>
    <w:rsid w:val="00C0370F"/>
    <w:rsid w:val="00C25C3E"/>
    <w:rsid w:val="00C41517"/>
    <w:rsid w:val="00C442FF"/>
    <w:rsid w:val="00CF421D"/>
    <w:rsid w:val="00D809FC"/>
    <w:rsid w:val="00E23B0F"/>
    <w:rsid w:val="00ED41EA"/>
    <w:rsid w:val="00F046D1"/>
    <w:rsid w:val="00F316A3"/>
    <w:rsid w:val="00F47648"/>
    <w:rsid w:val="00F56E9D"/>
    <w:rsid w:val="00F62D5C"/>
    <w:rsid w:val="00F7150D"/>
    <w:rsid w:val="00F8767A"/>
    <w:rsid w:val="00FF42EE"/>
    <w:rsid w:val="39C1366A"/>
    <w:rsid w:val="50C38E2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322E9"/>
  <w15:docId w15:val="{33AD93DA-87D7-42F4-A568-F41EBCD8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020CD"/>
    <w:rPr>
      <w:sz w:val="16"/>
      <w:szCs w:val="16"/>
    </w:rPr>
  </w:style>
  <w:style w:type="paragraph" w:styleId="CommentText">
    <w:name w:val="annotation text"/>
    <w:basedOn w:val="Normal"/>
    <w:link w:val="CommentTextChar"/>
    <w:uiPriority w:val="99"/>
    <w:unhideWhenUsed/>
    <w:rsid w:val="00C020CD"/>
    <w:pPr>
      <w:spacing w:line="240" w:lineRule="auto"/>
    </w:pPr>
    <w:rPr>
      <w:sz w:val="20"/>
      <w:szCs w:val="20"/>
    </w:rPr>
  </w:style>
  <w:style w:type="character" w:customStyle="1" w:styleId="CommentTextChar">
    <w:name w:val="Comment Text Char"/>
    <w:basedOn w:val="DefaultParagraphFont"/>
    <w:link w:val="CommentText"/>
    <w:uiPriority w:val="99"/>
    <w:rsid w:val="00C020CD"/>
    <w:rPr>
      <w:sz w:val="20"/>
      <w:szCs w:val="20"/>
    </w:rPr>
  </w:style>
  <w:style w:type="paragraph" w:styleId="CommentSubject">
    <w:name w:val="annotation subject"/>
    <w:basedOn w:val="CommentText"/>
    <w:next w:val="CommentText"/>
    <w:link w:val="CommentSubjectChar"/>
    <w:uiPriority w:val="99"/>
    <w:semiHidden/>
    <w:unhideWhenUsed/>
    <w:rsid w:val="00C020CD"/>
    <w:rPr>
      <w:b/>
      <w:bCs/>
    </w:rPr>
  </w:style>
  <w:style w:type="character" w:customStyle="1" w:styleId="CommentSubjectChar">
    <w:name w:val="Comment Subject Char"/>
    <w:basedOn w:val="CommentTextChar"/>
    <w:link w:val="CommentSubject"/>
    <w:uiPriority w:val="99"/>
    <w:semiHidden/>
    <w:rsid w:val="00C020CD"/>
    <w:rPr>
      <w:b/>
      <w:bCs/>
      <w:sz w:val="20"/>
      <w:szCs w:val="20"/>
    </w:rPr>
  </w:style>
  <w:style w:type="paragraph" w:styleId="Revision">
    <w:name w:val="Revision"/>
    <w:hidden/>
    <w:uiPriority w:val="99"/>
    <w:semiHidden/>
    <w:rsid w:val="006F3D7C"/>
    <w:pPr>
      <w:autoSpaceDN/>
      <w:spacing w:line="240" w:lineRule="auto"/>
      <w:textAlignment w:val="auto"/>
    </w:pPr>
  </w:style>
  <w:style w:type="paragraph" w:styleId="ListParagraph">
    <w:name w:val="List Paragraph"/>
    <w:basedOn w:val="Normal"/>
    <w:uiPriority w:val="34"/>
    <w:qFormat/>
    <w:rsid w:val="006F3D7C"/>
    <w:pPr>
      <w:ind w:left="720"/>
      <w:contextualSpacing/>
    </w:pPr>
  </w:style>
  <w:style w:type="paragraph" w:styleId="Header">
    <w:name w:val="header"/>
    <w:basedOn w:val="Normal"/>
    <w:link w:val="HeaderChar"/>
    <w:uiPriority w:val="99"/>
    <w:unhideWhenUsed/>
    <w:rsid w:val="00F62D5C"/>
    <w:pPr>
      <w:tabs>
        <w:tab w:val="center" w:pos="4513"/>
        <w:tab w:val="right" w:pos="9026"/>
      </w:tabs>
      <w:spacing w:line="240" w:lineRule="auto"/>
    </w:pPr>
  </w:style>
  <w:style w:type="character" w:customStyle="1" w:styleId="HeaderChar">
    <w:name w:val="Header Char"/>
    <w:basedOn w:val="DefaultParagraphFont"/>
    <w:link w:val="Header"/>
    <w:uiPriority w:val="99"/>
    <w:rsid w:val="00F62D5C"/>
  </w:style>
  <w:style w:type="paragraph" w:styleId="Footer">
    <w:name w:val="footer"/>
    <w:basedOn w:val="Normal"/>
    <w:link w:val="FooterChar"/>
    <w:uiPriority w:val="99"/>
    <w:unhideWhenUsed/>
    <w:rsid w:val="00F62D5C"/>
    <w:pPr>
      <w:tabs>
        <w:tab w:val="center" w:pos="4513"/>
        <w:tab w:val="right" w:pos="9026"/>
      </w:tabs>
      <w:spacing w:line="240" w:lineRule="auto"/>
    </w:pPr>
  </w:style>
  <w:style w:type="character" w:customStyle="1" w:styleId="FooterChar">
    <w:name w:val="Footer Char"/>
    <w:basedOn w:val="DefaultParagraphFont"/>
    <w:link w:val="Footer"/>
    <w:uiPriority w:val="99"/>
    <w:rsid w:val="00F6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government-conversion-factors-for-company-reporting" TargetMode="External"/><Relationship Id="rId13" Type="http://schemas.openxmlformats.org/officeDocument/2006/relationships/hyperlink" Target="https://ghgprotocol.org/standards/scope-3-standard"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gov.uk/government/collections/government-conversion-factors-for-company-repor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hgprotocol.org/corporate-standar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gov.uk/government/collections/government-conversion-factors-for-company-reporting"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Annual</a:t>
            </a:r>
            <a:r>
              <a:rPr lang="en-GB" baseline="0"/>
              <a:t> GHG Emissions performance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Scope 1</c:v>
                </c:pt>
              </c:strCache>
            </c:strRef>
          </c:tx>
          <c:spPr>
            <a:solidFill>
              <a:schemeClr val="dk1">
                <a:tint val="88500"/>
              </a:schemeClr>
            </a:solidFill>
            <a:ln>
              <a:noFill/>
            </a:ln>
            <a:effectLst/>
          </c:spPr>
          <c:invertIfNegative val="0"/>
          <c:cat>
            <c:numRef>
              <c:f>Sheet1!$A$2:$A$5</c:f>
              <c:numCache>
                <c:formatCode>General</c:formatCode>
                <c:ptCount val="4"/>
                <c:pt idx="0">
                  <c:v>2021</c:v>
                </c:pt>
                <c:pt idx="1">
                  <c:v>2022</c:v>
                </c:pt>
                <c:pt idx="2">
                  <c:v>2023</c:v>
                </c:pt>
                <c:pt idx="3">
                  <c:v>2024</c:v>
                </c:pt>
              </c:numCache>
            </c:numRef>
          </c:cat>
          <c:val>
            <c:numRef>
              <c:f>Sheet1!$B$2:$B$5</c:f>
              <c:numCache>
                <c:formatCode>#,##0</c:formatCode>
                <c:ptCount val="4"/>
                <c:pt idx="0">
                  <c:v>51607</c:v>
                </c:pt>
                <c:pt idx="1">
                  <c:v>50904</c:v>
                </c:pt>
                <c:pt idx="2">
                  <c:v>52788</c:v>
                </c:pt>
                <c:pt idx="3">
                  <c:v>52356</c:v>
                </c:pt>
              </c:numCache>
            </c:numRef>
          </c:val>
          <c:extLst>
            <c:ext xmlns:c16="http://schemas.microsoft.com/office/drawing/2014/chart" uri="{C3380CC4-5D6E-409C-BE32-E72D297353CC}">
              <c16:uniqueId val="{00000000-DE6B-4E50-9B96-761F2A418FAC}"/>
            </c:ext>
          </c:extLst>
        </c:ser>
        <c:ser>
          <c:idx val="1"/>
          <c:order val="1"/>
          <c:tx>
            <c:strRef>
              <c:f>Sheet1!$C$1</c:f>
              <c:strCache>
                <c:ptCount val="1"/>
                <c:pt idx="0">
                  <c:v>Scope 2</c:v>
                </c:pt>
              </c:strCache>
            </c:strRef>
          </c:tx>
          <c:spPr>
            <a:solidFill>
              <a:schemeClr val="dk1">
                <a:tint val="55000"/>
              </a:schemeClr>
            </a:solidFill>
            <a:ln>
              <a:noFill/>
            </a:ln>
            <a:effectLst/>
          </c:spPr>
          <c:invertIfNegative val="0"/>
          <c:cat>
            <c:numRef>
              <c:f>Sheet1!$A$2:$A$5</c:f>
              <c:numCache>
                <c:formatCode>General</c:formatCode>
                <c:ptCount val="4"/>
                <c:pt idx="0">
                  <c:v>2021</c:v>
                </c:pt>
                <c:pt idx="1">
                  <c:v>2022</c:v>
                </c:pt>
                <c:pt idx="2">
                  <c:v>2023</c:v>
                </c:pt>
                <c:pt idx="3">
                  <c:v>2024</c:v>
                </c:pt>
              </c:numCache>
            </c:numRef>
          </c:cat>
          <c:val>
            <c:numRef>
              <c:f>Sheet1!$C$2:$C$5</c:f>
              <c:numCache>
                <c:formatCode>#,##0</c:formatCode>
                <c:ptCount val="4"/>
                <c:pt idx="0">
                  <c:v>52605</c:v>
                </c:pt>
                <c:pt idx="1">
                  <c:v>29027</c:v>
                </c:pt>
                <c:pt idx="2">
                  <c:v>20276</c:v>
                </c:pt>
                <c:pt idx="3">
                  <c:v>10513</c:v>
                </c:pt>
              </c:numCache>
            </c:numRef>
          </c:val>
          <c:extLst>
            <c:ext xmlns:c16="http://schemas.microsoft.com/office/drawing/2014/chart" uri="{C3380CC4-5D6E-409C-BE32-E72D297353CC}">
              <c16:uniqueId val="{00000001-DE6B-4E50-9B96-761F2A418FAC}"/>
            </c:ext>
          </c:extLst>
        </c:ser>
        <c:ser>
          <c:idx val="2"/>
          <c:order val="2"/>
          <c:tx>
            <c:strRef>
              <c:f>Sheet1!$D$1</c:f>
              <c:strCache>
                <c:ptCount val="1"/>
                <c:pt idx="0">
                  <c:v>Scope 3</c:v>
                </c:pt>
              </c:strCache>
            </c:strRef>
          </c:tx>
          <c:spPr>
            <a:solidFill>
              <a:schemeClr val="dk1">
                <a:tint val="75000"/>
              </a:schemeClr>
            </a:solidFill>
            <a:ln>
              <a:noFill/>
            </a:ln>
            <a:effectLst/>
          </c:spPr>
          <c:invertIfNegative val="0"/>
          <c:cat>
            <c:numRef>
              <c:f>Sheet1!$A$2:$A$5</c:f>
              <c:numCache>
                <c:formatCode>General</c:formatCode>
                <c:ptCount val="4"/>
                <c:pt idx="0">
                  <c:v>2021</c:v>
                </c:pt>
                <c:pt idx="1">
                  <c:v>2022</c:v>
                </c:pt>
                <c:pt idx="2">
                  <c:v>2023</c:v>
                </c:pt>
                <c:pt idx="3">
                  <c:v>2024</c:v>
                </c:pt>
              </c:numCache>
            </c:numRef>
          </c:cat>
          <c:val>
            <c:numRef>
              <c:f>Sheet1!$D$2:$D$5</c:f>
              <c:numCache>
                <c:formatCode>#,##0</c:formatCode>
                <c:ptCount val="4"/>
                <c:pt idx="0">
                  <c:v>544497</c:v>
                </c:pt>
                <c:pt idx="1">
                  <c:v>503829</c:v>
                </c:pt>
                <c:pt idx="2">
                  <c:v>446053</c:v>
                </c:pt>
                <c:pt idx="3">
                  <c:v>486261</c:v>
                </c:pt>
              </c:numCache>
            </c:numRef>
          </c:val>
          <c:extLst>
            <c:ext xmlns:c16="http://schemas.microsoft.com/office/drawing/2014/chart" uri="{C3380CC4-5D6E-409C-BE32-E72D297353CC}">
              <c16:uniqueId val="{00000002-DE6B-4E50-9B96-761F2A418FAC}"/>
            </c:ext>
          </c:extLst>
        </c:ser>
        <c:dLbls>
          <c:showLegendKey val="0"/>
          <c:showVal val="0"/>
          <c:showCatName val="0"/>
          <c:showSerName val="0"/>
          <c:showPercent val="0"/>
          <c:showBubbleSize val="0"/>
        </c:dLbls>
        <c:gapWidth val="150"/>
        <c:overlap val="100"/>
        <c:axId val="1137268768"/>
        <c:axId val="1137269248"/>
      </c:barChart>
      <c:catAx>
        <c:axId val="113726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7269248"/>
        <c:crosses val="autoZero"/>
        <c:auto val="1"/>
        <c:lblAlgn val="ctr"/>
        <c:lblOffset val="100"/>
        <c:noMultiLvlLbl val="0"/>
      </c:catAx>
      <c:valAx>
        <c:axId val="1137269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726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Links>
    <vt:vector size="48" baseType="variant">
      <vt:variant>
        <vt:i4>2687096</vt:i4>
      </vt:variant>
      <vt:variant>
        <vt:i4>21</vt:i4>
      </vt:variant>
      <vt:variant>
        <vt:i4>0</vt:i4>
      </vt:variant>
      <vt:variant>
        <vt:i4>5</vt:i4>
      </vt:variant>
      <vt:variant>
        <vt:lpwstr>https://ghgprotocol.org/standards/scope-3-standard</vt:lpwstr>
      </vt:variant>
      <vt:variant>
        <vt:lpwstr/>
      </vt:variant>
      <vt:variant>
        <vt:i4>5439509</vt:i4>
      </vt:variant>
      <vt:variant>
        <vt:i4>18</vt:i4>
      </vt:variant>
      <vt:variant>
        <vt:i4>0</vt:i4>
      </vt:variant>
      <vt:variant>
        <vt:i4>5</vt:i4>
      </vt:variant>
      <vt:variant>
        <vt:lpwstr>http://www.gov.uk/government/collections/government-conversion-factors-for-company-reporting</vt:lpwstr>
      </vt:variant>
      <vt:variant>
        <vt:lpwstr/>
      </vt:variant>
      <vt:variant>
        <vt:i4>4063295</vt:i4>
      </vt:variant>
      <vt:variant>
        <vt:i4>15</vt:i4>
      </vt:variant>
      <vt:variant>
        <vt:i4>0</vt:i4>
      </vt:variant>
      <vt:variant>
        <vt:i4>5</vt:i4>
      </vt:variant>
      <vt:variant>
        <vt:lpwstr>https://ghgprotocol.org/corporate-standard</vt:lpwstr>
      </vt:variant>
      <vt:variant>
        <vt:lpwstr/>
      </vt:variant>
      <vt:variant>
        <vt:i4>1048639</vt:i4>
      </vt:variant>
      <vt:variant>
        <vt:i4>12</vt:i4>
      </vt:variant>
      <vt:variant>
        <vt:i4>0</vt:i4>
      </vt:variant>
      <vt:variant>
        <vt:i4>5</vt:i4>
      </vt:variant>
      <vt:variant>
        <vt:lpwstr/>
      </vt:variant>
      <vt:variant>
        <vt:lpwstr>_49x2ik5</vt:lpwstr>
      </vt:variant>
      <vt:variant>
        <vt:i4>5242941</vt:i4>
      </vt:variant>
      <vt:variant>
        <vt:i4>9</vt:i4>
      </vt:variant>
      <vt:variant>
        <vt:i4>0</vt:i4>
      </vt:variant>
      <vt:variant>
        <vt:i4>5</vt:i4>
      </vt:variant>
      <vt:variant>
        <vt:lpwstr/>
      </vt:variant>
      <vt:variant>
        <vt:lpwstr>_1pxezwc</vt:lpwstr>
      </vt:variant>
      <vt:variant>
        <vt:i4>852063</vt:i4>
      </vt:variant>
      <vt:variant>
        <vt:i4>6</vt:i4>
      </vt:variant>
      <vt:variant>
        <vt:i4>0</vt:i4>
      </vt:variant>
      <vt:variant>
        <vt:i4>5</vt:i4>
      </vt:variant>
      <vt:variant>
        <vt:lpwstr>https://www.gov.uk/government/collections/government-conversion-factors-for-company-reporting</vt:lpwstr>
      </vt:variant>
      <vt:variant>
        <vt:lpwstr/>
      </vt:variant>
      <vt:variant>
        <vt:i4>852063</vt:i4>
      </vt:variant>
      <vt:variant>
        <vt:i4>3</vt:i4>
      </vt:variant>
      <vt:variant>
        <vt:i4>0</vt:i4>
      </vt:variant>
      <vt:variant>
        <vt:i4>5</vt:i4>
      </vt:variant>
      <vt:variant>
        <vt:lpwstr>https://www.gov.uk/government/collections/government-conversion-factors-for-company-reporting</vt:lpwstr>
      </vt:variant>
      <vt:variant>
        <vt:lpwstr/>
      </vt:variant>
      <vt:variant>
        <vt:i4>5898341</vt:i4>
      </vt:variant>
      <vt:variant>
        <vt:i4>0</vt:i4>
      </vt:variant>
      <vt:variant>
        <vt:i4>0</vt:i4>
      </vt:variant>
      <vt:variant>
        <vt:i4>5</vt:i4>
      </vt:variant>
      <vt:variant>
        <vt:lpwstr/>
      </vt:variant>
      <vt:variant>
        <vt:lpwstr>_3as4poj</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Norton</dc:creator>
  <cp:keywords/>
  <cp:lastModifiedBy>Amy Burnett</cp:lastModifiedBy>
  <cp:revision>37</cp:revision>
  <dcterms:created xsi:type="dcterms:W3CDTF">2025-06-26T22:17:00Z</dcterms:created>
  <dcterms:modified xsi:type="dcterms:W3CDTF">2025-11-03T10:39:00Z</dcterms:modified>
</cp:coreProperties>
</file>